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76DCCE5" w14:textId="77777777" w:rsidR="003A4897" w:rsidRDefault="00B95978">
      <w:pPr>
        <w:tabs>
          <w:tab w:val="left" w:pos="567"/>
        </w:tabs>
        <w:spacing w:before="720" w:after="720" w:line="240" w:lineRule="auto"/>
        <w:ind w:left="-142" w:right="-232"/>
        <w:jc w:val="center"/>
      </w:pPr>
      <w:r>
        <w:rPr>
          <w:b/>
          <w:sz w:val="36"/>
          <w:szCs w:val="36"/>
        </w:rPr>
        <w:t xml:space="preserve">ANEXO I.2 </w:t>
      </w:r>
      <w:r>
        <w:rPr>
          <w:b/>
          <w:sz w:val="36"/>
          <w:szCs w:val="36"/>
        </w:rPr>
        <w:br/>
        <w:t>Glosario de términos definidos</w:t>
      </w:r>
    </w:p>
    <w:p w14:paraId="0A5A3859" w14:textId="77777777" w:rsidR="003A4897" w:rsidRDefault="00B95978">
      <w:pPr>
        <w:tabs>
          <w:tab w:val="left" w:pos="851"/>
        </w:tabs>
        <w:spacing w:before="180" w:after="120" w:line="240" w:lineRule="auto"/>
        <w:jc w:val="both"/>
      </w:pPr>
      <w:r>
        <w:t>El presente anexo contiene un glosario de los términos definidos que se utilizan en las Bases de Licitación a fin de facilitar la consulta de los mismos. Las definiciones aquí contenidas no modifican el sentido y alcance de los términos definidos en la Ley de la Industria Eléctrica, su Reglamento, las Bases del Mercado Eléctrico, el Manual de Subastas de Largo Plazo o la sección 1.2 de las Bases de Licitación. En caso de que exista alguna contradicción o inconsistencia en el contenido de este glosario con respecto a los términos definidos, prevalecerá lo previsto para esos términos en la Ley de la Industria Eléctrica, su Reglamento, las Bases del Mercado Eléctrico, el Manual de Subastas de Largo Plazo y la sección 1.2 de las Bases de Licitación, según corresponda.</w:t>
      </w:r>
    </w:p>
    <w:p w14:paraId="423068ED" w14:textId="77777777" w:rsidR="003A4897" w:rsidRDefault="003A4897">
      <w:pPr>
        <w:tabs>
          <w:tab w:val="left" w:pos="851"/>
        </w:tabs>
        <w:spacing w:before="180" w:after="120" w:line="240" w:lineRule="auto"/>
        <w:jc w:val="both"/>
      </w:pPr>
    </w:p>
    <w:p w14:paraId="56362796" w14:textId="77777777" w:rsidR="003A4897" w:rsidRDefault="00B95978">
      <w:pPr>
        <w:spacing w:before="180" w:after="120" w:line="240" w:lineRule="auto"/>
        <w:ind w:firstLine="567"/>
        <w:jc w:val="both"/>
      </w:pPr>
      <w:r>
        <w:rPr>
          <w:b/>
        </w:rPr>
        <w:t xml:space="preserve">Bases de Licitación: </w:t>
      </w:r>
      <w:r>
        <w:t>Las bases de licitación de la Subasta de Largo Plazo SLP. 01/2016 y sus anexos, los cuales forman parte integrante del mismo, que emite el CENACE para la Subasta de conformidad a lo previsto en el numeral 2.5.2 y la disposición 5.3 del Manual.</w:t>
      </w:r>
    </w:p>
    <w:p w14:paraId="76997703" w14:textId="77777777" w:rsidR="003A4897" w:rsidRDefault="00B95978">
      <w:pPr>
        <w:spacing w:before="180" w:after="120" w:line="240" w:lineRule="auto"/>
        <w:ind w:firstLine="567"/>
        <w:jc w:val="both"/>
      </w:pPr>
      <w:r>
        <w:rPr>
          <w:b/>
        </w:rPr>
        <w:t>Bases del Mercado Eléctrico:</w:t>
      </w:r>
      <w:r>
        <w:t xml:space="preserve"> Disposiciones administrativas de carácter general que </w:t>
      </w:r>
      <w:proofErr w:type="gramStart"/>
      <w:r>
        <w:t>contienen</w:t>
      </w:r>
      <w:proofErr w:type="gramEnd"/>
      <w:r>
        <w:t xml:space="preserve"> los principios del diseño y operación del Mercado Eléctrico Mayorista, incluyendo las subastas a que se refiere la Ley de la Industria Eléctrica.</w:t>
      </w:r>
    </w:p>
    <w:p w14:paraId="78779FE7" w14:textId="77777777" w:rsidR="003A4897" w:rsidRDefault="00B95978">
      <w:pPr>
        <w:spacing w:before="180" w:after="120" w:line="240" w:lineRule="auto"/>
        <w:ind w:firstLine="567"/>
        <w:jc w:val="both"/>
      </w:pPr>
      <w:r>
        <w:rPr>
          <w:b/>
        </w:rPr>
        <w:t xml:space="preserve">Calendario de la Subasta: </w:t>
      </w:r>
      <w:r>
        <w:t>El calendario previsto por el CENACE para el desarrollo de la Subasta y que forma parte de las Bases de Licitación.</w:t>
      </w:r>
    </w:p>
    <w:p w14:paraId="203E5DD3" w14:textId="77777777" w:rsidR="003A4897" w:rsidRDefault="00B95978">
      <w:pPr>
        <w:spacing w:before="180" w:after="120" w:line="240" w:lineRule="auto"/>
        <w:ind w:firstLine="567"/>
        <w:jc w:val="both"/>
      </w:pPr>
      <w:r>
        <w:rPr>
          <w:b/>
        </w:rPr>
        <w:t xml:space="preserve">Cámara de Compensación: </w:t>
      </w:r>
      <w:r>
        <w:t>Persona moral que administrará de manera centralizada los Contratos que sean asignados a través de Subastas convocadas después de que haya sido creada o constituida tal persona moral, de conformidad con lo previsto en la sección 3.2 y la Guía Operativa correspondiente.</w:t>
      </w:r>
    </w:p>
    <w:p w14:paraId="13A239B4" w14:textId="032C61EB" w:rsidR="003A4897" w:rsidRDefault="00B95978">
      <w:pPr>
        <w:spacing w:before="180" w:after="120" w:line="240" w:lineRule="auto"/>
        <w:ind w:firstLine="567"/>
        <w:jc w:val="both"/>
      </w:pPr>
      <w:r>
        <w:rPr>
          <w:b/>
        </w:rPr>
        <w:t>Capacidad Instalada</w:t>
      </w:r>
      <w:r w:rsidR="00130515">
        <w:rPr>
          <w:b/>
        </w:rPr>
        <w:t xml:space="preserve"> o Capacidad de Placa</w:t>
      </w:r>
      <w:r>
        <w:rPr>
          <w:b/>
        </w:rPr>
        <w:t>:</w:t>
      </w:r>
      <w:r>
        <w:t xml:space="preserve"> La cantidad de potencia que una Central Eléctrica o Recurso de Demanda Controlable está diseñada para producir o dejar de consumir; también conocida como la capacidad de placa en corriente alterna (MWac). La Capacidad Instalada se verificará por la CRE.</w:t>
      </w:r>
    </w:p>
    <w:p w14:paraId="518C5DE5" w14:textId="77777777" w:rsidR="003A4897" w:rsidRDefault="00B95978">
      <w:pPr>
        <w:spacing w:before="180" w:after="120" w:line="240" w:lineRule="auto"/>
        <w:ind w:firstLine="567"/>
        <w:jc w:val="both"/>
      </w:pPr>
      <w:r>
        <w:rPr>
          <w:b/>
        </w:rPr>
        <w:t xml:space="preserve">CEL: </w:t>
      </w:r>
      <w:r>
        <w:t>Certificados de Energías Limpias, como se define en la Ley.</w:t>
      </w:r>
    </w:p>
    <w:p w14:paraId="10FAFA2E" w14:textId="77777777" w:rsidR="003A4897" w:rsidRDefault="00B95978">
      <w:pPr>
        <w:spacing w:before="180" w:after="120" w:line="240" w:lineRule="auto"/>
        <w:ind w:firstLine="567"/>
        <w:jc w:val="both"/>
      </w:pPr>
      <w:r>
        <w:rPr>
          <w:b/>
        </w:rPr>
        <w:lastRenderedPageBreak/>
        <w:t>CENACE:</w:t>
      </w:r>
      <w:r>
        <w:t xml:space="preserve"> Centro Nacional de Control de Energía.</w:t>
      </w:r>
    </w:p>
    <w:p w14:paraId="075C5DFA" w14:textId="77777777" w:rsidR="003A4897" w:rsidRDefault="00B95978">
      <w:pPr>
        <w:spacing w:before="180" w:after="120" w:line="240" w:lineRule="auto"/>
        <w:ind w:firstLine="567"/>
        <w:jc w:val="both"/>
      </w:pPr>
      <w:r>
        <w:rPr>
          <w:b/>
        </w:rPr>
        <w:t xml:space="preserve">Central Eléctrica: </w:t>
      </w:r>
      <w:r>
        <w:t>Instalaciones y equipos que, en un sitio determinado, permiten generar energía eléctrica y Productos Asociados.</w:t>
      </w:r>
    </w:p>
    <w:p w14:paraId="7D8DFA30" w14:textId="77777777" w:rsidR="003A4897" w:rsidRDefault="00B95978">
      <w:pPr>
        <w:spacing w:before="180" w:after="120" w:line="240" w:lineRule="auto"/>
        <w:ind w:firstLine="567"/>
        <w:jc w:val="both"/>
      </w:pPr>
      <w:r>
        <w:rPr>
          <w:b/>
        </w:rPr>
        <w:t>Centro de Carga:</w:t>
      </w:r>
      <w:r>
        <w:t xml:space="preserve"> Instalaciones y equipos que, en un sitio determinado, permiten que un Usuario Final reciba el Suministro Eléctrico. Los Centros de Carga se determinarán en el punto de medición de la energía suministrada.</w:t>
      </w:r>
    </w:p>
    <w:p w14:paraId="4AC3F062" w14:textId="77777777" w:rsidR="003A4897" w:rsidRDefault="00B95978">
      <w:pPr>
        <w:spacing w:before="180" w:after="120" w:line="240" w:lineRule="auto"/>
        <w:ind w:firstLine="567"/>
        <w:jc w:val="both"/>
      </w:pPr>
      <w:r>
        <w:rPr>
          <w:b/>
        </w:rPr>
        <w:t>Certificado de Energías Limpias:</w:t>
      </w:r>
      <w:r>
        <w:t xml:space="preserve"> Título emitido por la CRE que acredita la producción de un monto determinado de energía eléctrica a partir de Energías Limpias y que sirve para cumplir los requisitos asociados al consumo de los Centros de Carga.</w:t>
      </w:r>
    </w:p>
    <w:p w14:paraId="59E9BDA3" w14:textId="21CEB6D2" w:rsidR="003A4897" w:rsidRDefault="00B95978">
      <w:pPr>
        <w:spacing w:before="180" w:after="120" w:line="240" w:lineRule="auto"/>
        <w:ind w:firstLine="567"/>
        <w:jc w:val="both"/>
      </w:pPr>
      <w:r>
        <w:rPr>
          <w:b/>
        </w:rPr>
        <w:t>Código de Red:</w:t>
      </w:r>
      <w:r>
        <w:t xml:space="preserve"> </w:t>
      </w:r>
      <w:r w:rsidR="00F945E1" w:rsidRPr="00FC675A">
        <w:t>Las Disposiciones Administrativas de carácter general que contienen los criterios de eficiencia, calidad, confiabilidad, continuidad, seguridad y sustentabilidad del Sistema Eléctrico Nacional: Código de Red, conforme dispone el artículo 12, fracción XXXVII de la Ley de la Industria Eléctrica, publicados en el Diario Oficial de la Federación el 8 de abril de 2016 y de aquellos ordenamientos que las sustituyan o a las Reglas Generales de Interconexión al Sistema Eléctrico Nacional (REGISEN), publicados en el Diario Ofi</w:t>
      </w:r>
      <w:r w:rsidR="00F945E1">
        <w:t>cial de la Federación el 22 de m</w:t>
      </w:r>
      <w:r w:rsidR="00F945E1" w:rsidRPr="00FC675A">
        <w:t xml:space="preserve">ayo de 2012, según </w:t>
      </w:r>
      <w:r w:rsidR="00F945E1">
        <w:t>resulte aplicable de conformidad con lo que determine la CRE</w:t>
      </w:r>
    </w:p>
    <w:p w14:paraId="771CEE7A" w14:textId="77777777" w:rsidR="003A4897" w:rsidRDefault="00B95978">
      <w:pPr>
        <w:spacing w:before="180" w:after="120" w:line="240" w:lineRule="auto"/>
        <w:ind w:firstLine="567"/>
        <w:jc w:val="both"/>
      </w:pPr>
      <w:r>
        <w:rPr>
          <w:b/>
        </w:rPr>
        <w:t xml:space="preserve">Comprador: </w:t>
      </w:r>
      <w:r>
        <w:t>La persona que suscribe un Contrato en el que se obliga a comprar al Vendedor una cantidad determinada de Potencia, Energía Eléctrica Acumulable y/o CELs.</w:t>
      </w:r>
    </w:p>
    <w:p w14:paraId="2BF5BD7A" w14:textId="77777777" w:rsidR="003A4897" w:rsidRDefault="00B95978">
      <w:pPr>
        <w:spacing w:before="180" w:after="120" w:line="240" w:lineRule="auto"/>
        <w:ind w:firstLine="567"/>
        <w:jc w:val="both"/>
      </w:pPr>
      <w:r>
        <w:rPr>
          <w:b/>
        </w:rPr>
        <w:t xml:space="preserve">Consorcio: </w:t>
      </w:r>
      <w:r>
        <w:t>Dos o más personas que participan de manera conjunta y como un sólo Licitante en una Subasta y que se obligan a suscribir el o los Contratos que les sean asignados en caso de que una o más de sus Ofertas de Venta sean seleccionadas, ya sea directamente, o bien, por conducto de la Sociedad de Propósito Específico que constituyan entre ellas en los términos de la o las Ofertas de Venta correspondientes.</w:t>
      </w:r>
    </w:p>
    <w:p w14:paraId="0D72AE3E" w14:textId="77777777" w:rsidR="003A4897" w:rsidRDefault="00B95978">
      <w:pPr>
        <w:spacing w:before="180" w:after="120" w:line="240" w:lineRule="auto"/>
        <w:ind w:firstLine="567"/>
        <w:jc w:val="both"/>
      </w:pPr>
      <w:r>
        <w:rPr>
          <w:b/>
        </w:rPr>
        <w:t xml:space="preserve">Constancia de Precalificación: </w:t>
      </w:r>
      <w:r>
        <w:t>Instrumento emitido por el CENACE para hacer constar que el solicitante acreditó contar con suficiente capacidad legal, financiera, técnica y de ejecución para cumplir con una Oferta de Venta que pretende presentar en la Subasta; que ha realizado los pagos correspondientes a la adquisición de las Bases de Licitación y a la evaluación de su solicitud de precalificación de la Oferta de Venta, y que ha presentado su Garantía de Seriedad, por lo cual se encuentra legitimado para presentar dicha Oferta de Venta, según lo previsto en la propia constancia y hasta el límite que le permita el monto de su Garantía de Seriedad.</w:t>
      </w:r>
    </w:p>
    <w:p w14:paraId="0393277D" w14:textId="77777777" w:rsidR="003A4897" w:rsidRDefault="00B95978">
      <w:pPr>
        <w:spacing w:before="180" w:after="120" w:line="240" w:lineRule="auto"/>
        <w:ind w:firstLine="567"/>
        <w:jc w:val="both"/>
      </w:pPr>
      <w:r>
        <w:rPr>
          <w:b/>
        </w:rPr>
        <w:t>Contrato de Cobertura Eléctrica:</w:t>
      </w:r>
      <w:r>
        <w:t xml:space="preserve"> Acuerdo entre Participantes del Mercado mediante el cual se obligan a la compraventa de energía eléctrica o Productos Asociados en una hora o fecha futura y determinada, o a la realización de pagos basados en los precios de los mismos.</w:t>
      </w:r>
    </w:p>
    <w:p w14:paraId="3F5EAB45" w14:textId="23D5B9F9" w:rsidR="003A4897" w:rsidRDefault="00B95978">
      <w:pPr>
        <w:spacing w:before="180" w:after="120" w:line="240" w:lineRule="auto"/>
        <w:ind w:firstLine="567"/>
        <w:jc w:val="both"/>
      </w:pPr>
      <w:r>
        <w:rPr>
          <w:b/>
        </w:rPr>
        <w:lastRenderedPageBreak/>
        <w:t xml:space="preserve">Contrato: </w:t>
      </w:r>
      <w:r>
        <w:t>El Contrato de Cobertura Eléctrica que sea asignado por el CENACE como resultado de la Subasta y que deberá suscribir el Suministrador de Servicios Básicos como Comprador y el Licitante o Sociedad de Propósito Específico correspondiente como Vendedor de conformidad con el modelo de contrato que forma parte de las Bases de Licitación como</w:t>
      </w:r>
      <w:r>
        <w:rPr>
          <w:b/>
        </w:rPr>
        <w:t xml:space="preserve"> Anexo VII</w:t>
      </w:r>
      <w:r>
        <w:t>.</w:t>
      </w:r>
    </w:p>
    <w:p w14:paraId="2DDD4D22" w14:textId="77777777" w:rsidR="003A4897" w:rsidRDefault="00B95978">
      <w:pPr>
        <w:spacing w:before="180" w:after="120" w:line="240" w:lineRule="auto"/>
        <w:ind w:firstLine="567"/>
        <w:jc w:val="both"/>
      </w:pPr>
      <w:r>
        <w:rPr>
          <w:b/>
        </w:rPr>
        <w:t xml:space="preserve">Convenio Consorcial: </w:t>
      </w:r>
      <w:r>
        <w:t>Acuerdo suscrito entre todos los miembros de un Consorcio para establecer derechos y obligaciones para cada uno de ellos respecto a su participación en la Subasta y, en su caso, en los Contratos de los que resulten asignatarios como Consorcio.</w:t>
      </w:r>
    </w:p>
    <w:p w14:paraId="1DE4EDBE" w14:textId="72060F0A" w:rsidR="003A4897" w:rsidRDefault="00B95978">
      <w:pPr>
        <w:spacing w:before="180" w:after="120" w:line="240" w:lineRule="auto"/>
        <w:ind w:firstLine="567"/>
        <w:jc w:val="both"/>
      </w:pPr>
      <w:r>
        <w:rPr>
          <w:b/>
        </w:rPr>
        <w:t>COPASU</w:t>
      </w:r>
      <w:r>
        <w:t>: Sistema electrónico para el cobro de los pagos de las Subastas, el cual funcionará para determinar y registrar los pagos que realicen los Licitantes para su participación en la Subasta.</w:t>
      </w:r>
    </w:p>
    <w:p w14:paraId="72814413" w14:textId="77777777" w:rsidR="003A4897" w:rsidRDefault="00B95978">
      <w:pPr>
        <w:spacing w:before="180" w:after="120" w:line="240" w:lineRule="auto"/>
        <w:ind w:firstLine="567"/>
        <w:jc w:val="both"/>
      </w:pPr>
      <w:r>
        <w:rPr>
          <w:b/>
        </w:rPr>
        <w:t>CRE:</w:t>
      </w:r>
      <w:r>
        <w:t xml:space="preserve"> Comisión Reguladora de Energía.</w:t>
      </w:r>
    </w:p>
    <w:p w14:paraId="641D73A1" w14:textId="29330172" w:rsidR="003A4897" w:rsidRDefault="00B95978">
      <w:pPr>
        <w:spacing w:before="180" w:after="120" w:line="240" w:lineRule="auto"/>
        <w:ind w:firstLine="567"/>
        <w:jc w:val="both"/>
      </w:pPr>
      <w:r>
        <w:rPr>
          <w:b/>
        </w:rPr>
        <w:t>Dictamen Favorable:</w:t>
      </w:r>
      <w:r>
        <w:t xml:space="preserve"> Documento emitido por el CENACE para hacer constar que la documentación presentada por el Licitante en la solicitud de precalificación de Oferta de Venta de que se trate, permite acreditar que cuenta con la suficiente capacidad legal, técnica y de ejecución, y financiera para llevar a cabo el proyecto asociado a esa Oferta de Venta sujeto al otorgamiento de la Garantía de Seriedad correspondiente.</w:t>
      </w:r>
    </w:p>
    <w:p w14:paraId="58E9C286" w14:textId="338626F4" w:rsidR="003A4897" w:rsidRDefault="00B95978">
      <w:pPr>
        <w:spacing w:before="180" w:after="120" w:line="240" w:lineRule="auto"/>
        <w:ind w:firstLine="567"/>
        <w:jc w:val="both"/>
      </w:pPr>
      <w:r>
        <w:rPr>
          <w:b/>
        </w:rPr>
        <w:t>Dictamen No Favorable:</w:t>
      </w:r>
      <w:r>
        <w:t xml:space="preserve"> Documento emitido por el CENACE para hacer constar que la documentación presentada por el Licitante en la solicitud de precalificación de Oferta de Venta de que se trate, no permite acreditar que cuenta con la suficiente capacidad legal, técnica y de ejecución, y financiera para llevar a cabo el proyecto asociado a esa Oferta de Venta sujeto al otorgamiento de la Garantía de Seriedad correspondiente.</w:t>
      </w:r>
    </w:p>
    <w:p w14:paraId="1AD8831F" w14:textId="19C93EF6" w:rsidR="003A4897" w:rsidRDefault="00B95978">
      <w:pPr>
        <w:spacing w:before="180" w:after="120" w:line="240" w:lineRule="auto"/>
        <w:ind w:firstLine="567"/>
        <w:jc w:val="both"/>
      </w:pPr>
      <w:r>
        <w:rPr>
          <w:b/>
        </w:rPr>
        <w:t xml:space="preserve">Diferencias Esperadas: </w:t>
      </w:r>
      <w:r>
        <w:t>Tiene el significado que a dicho término se le atribuye en la disposición 2.8.5 del Manual.</w:t>
      </w:r>
    </w:p>
    <w:p w14:paraId="7F2AFA13" w14:textId="7F901C00" w:rsidR="003A4897" w:rsidRDefault="00B95978">
      <w:pPr>
        <w:spacing w:before="180" w:after="120" w:line="240" w:lineRule="auto"/>
        <w:ind w:firstLine="567"/>
        <w:jc w:val="both"/>
      </w:pPr>
      <w:r>
        <w:rPr>
          <w:b/>
        </w:rPr>
        <w:t>DOF</w:t>
      </w:r>
      <w:r>
        <w:t>: Diario Oficial de la Federación.</w:t>
      </w:r>
    </w:p>
    <w:p w14:paraId="2EC8A57D" w14:textId="77777777" w:rsidR="003A4897" w:rsidRDefault="00B95978">
      <w:pPr>
        <w:spacing w:before="180" w:after="120" w:line="240" w:lineRule="auto"/>
        <w:ind w:firstLine="567"/>
        <w:jc w:val="both"/>
      </w:pPr>
      <w:r>
        <w:rPr>
          <w:b/>
        </w:rPr>
        <w:t xml:space="preserve">Dólar: </w:t>
      </w:r>
      <w:r>
        <w:t>Moneda de curso legal en los Estados Unidos de América.</w:t>
      </w:r>
    </w:p>
    <w:p w14:paraId="6281662E" w14:textId="77777777" w:rsidR="003A4897" w:rsidRDefault="00B95978">
      <w:pPr>
        <w:spacing w:before="180" w:after="120" w:line="240" w:lineRule="auto"/>
        <w:ind w:firstLine="567"/>
        <w:jc w:val="both"/>
      </w:pPr>
      <w:r>
        <w:rPr>
          <w:b/>
        </w:rPr>
        <w:t>Energía Eléctrica Acumulable:</w:t>
      </w:r>
      <w:r>
        <w:t xml:space="preserve"> La energía eléctrica a que se refiere la base 14.3.5 de las Bases del Mercado y que será objeto de los contratos asignados a través de Subastas de Largo Plazo.</w:t>
      </w:r>
    </w:p>
    <w:p w14:paraId="1939CE47" w14:textId="77777777" w:rsidR="003A4897" w:rsidRDefault="00B95978">
      <w:pPr>
        <w:spacing w:before="180" w:after="120" w:line="240" w:lineRule="auto"/>
        <w:ind w:firstLine="567"/>
        <w:jc w:val="both"/>
      </w:pPr>
      <w:r>
        <w:rPr>
          <w:b/>
        </w:rPr>
        <w:t xml:space="preserve">Energía Evitada por Precios Negativos: </w:t>
      </w:r>
      <w:r>
        <w:t>La cantidad de Energía Eléctrica Acumulable que el Vendedor podría haber generado y entregado en el punto de interconexión y que ha optado por no generar en virtud de que la misma habría sido considerada como Energía Entregada con Precios Negativos, o bien, en virtud de una instrucción del CENACE para el despacho fuera de mérito por motivos de Confiabilidad</w:t>
      </w:r>
      <w:r>
        <w:rPr>
          <w:b/>
        </w:rPr>
        <w:t>.</w:t>
      </w:r>
    </w:p>
    <w:p w14:paraId="59AB2BEB" w14:textId="77777777" w:rsidR="003A4897" w:rsidRDefault="00B95978">
      <w:pPr>
        <w:spacing w:before="180" w:after="120" w:line="240" w:lineRule="auto"/>
        <w:ind w:firstLine="567"/>
        <w:jc w:val="both"/>
      </w:pPr>
      <w:r>
        <w:rPr>
          <w:b/>
        </w:rPr>
        <w:lastRenderedPageBreak/>
        <w:t xml:space="preserve">Energía Producida: </w:t>
      </w:r>
      <w:r>
        <w:t>La Energía Entregada que haya sido efectivamente transferida por el Vendedor al Comprador en cada hora, a través de una Transacción Bilateral Financiera en el Mercado de Tiempo Real, en el punto de interconexión de la Central Eléctrica correspondiente</w:t>
      </w:r>
      <w:r>
        <w:rPr>
          <w:b/>
        </w:rPr>
        <w:t>.</w:t>
      </w:r>
    </w:p>
    <w:p w14:paraId="16C0C412" w14:textId="77777777" w:rsidR="003A4897" w:rsidRDefault="00B95978">
      <w:pPr>
        <w:spacing w:before="180" w:after="120" w:line="240" w:lineRule="auto"/>
        <w:ind w:firstLine="567"/>
        <w:jc w:val="both"/>
      </w:pPr>
      <w:r>
        <w:rPr>
          <w:b/>
        </w:rPr>
        <w:t>Energías Limpias:</w:t>
      </w:r>
      <w:r>
        <w:t xml:space="preserve"> Aquellas fuentes de energía y procesos de generación de electricidad cuyas emisiones o residuos, cuando los haya, no rebasen los umbrales establecidos en las disposiciones reglamentarias que para tal efecto se expidan. Entre las Energías Limpias se consideran las siguientes: (a) El viento; (b) La radiación solar, en todas sus formas; (c) La energía oceánica en sus distintas formas: </w:t>
      </w:r>
      <w:proofErr w:type="spellStart"/>
      <w:r>
        <w:t>maremotriz</w:t>
      </w:r>
      <w:proofErr w:type="spellEnd"/>
      <w:r>
        <w:t xml:space="preserve">, </w:t>
      </w:r>
      <w:proofErr w:type="spellStart"/>
      <w:r>
        <w:t>maremotérmica</w:t>
      </w:r>
      <w:proofErr w:type="spellEnd"/>
      <w:r>
        <w:t xml:space="preserve">, de las olas, de las corrientes marinas y del gradiente de concentración de sal; (d) El calor de los yacimientos geotérmicos; (e) Los </w:t>
      </w:r>
      <w:proofErr w:type="spellStart"/>
      <w:r>
        <w:t>bioenergéticos</w:t>
      </w:r>
      <w:proofErr w:type="spellEnd"/>
      <w:r>
        <w:t xml:space="preserve"> que determine la Ley de Promoción y Desarrollo de los </w:t>
      </w:r>
      <w:proofErr w:type="spellStart"/>
      <w:r>
        <w:t>Bioenergéticos</w:t>
      </w:r>
      <w:proofErr w:type="spellEnd"/>
      <w:r>
        <w:t xml:space="preserve">; (f) La energía generada por el aprovechamiento del poder calorífico del metano y otros gases asociados en los sitios de disposición de residuos, granjas pecuarias y en las plantas de tratamiento de aguas residuales, entre otros; (g) La energía generada por el aprovechamiento del hidrógeno mediante su combustión o su uso en celdas de combustible, siempre y cuando se cumpla con la eficiencia mínima que establezca la CRE y los criterios de emisiones establecidos por la Secretaría de Medio Ambiente y Recursos Naturales en su ciclo de vida; (h) La energía proveniente de centrales hidroeléctricas; (i) La energía nucleoeléctrica; (j) La energía generada con los productos del procesamiento de esquilmos agrícolas o residuos sólidos urbanos (como gasificación o plasma molecular), cuando dicho procesamiento no genere dioxinas y </w:t>
      </w:r>
      <w:proofErr w:type="spellStart"/>
      <w:r>
        <w:t>furanos</w:t>
      </w:r>
      <w:proofErr w:type="spellEnd"/>
      <w:r>
        <w:t xml:space="preserve"> u otras emisiones que puedan afectar a la salud o al medio ambiente y cumpla con las normas oficiales mexicanas que al efecto emita la Secretaría de Medio Ambiente y Recursos Naturales; (k) La energía generada por centrales de cogeneración eficiente en términos de los criterios de eficiencia emitidos por la CRE y de emisiones establecidos por la Secretaría de Medio Ambiente y Recursos Naturales; (l) La energía generada por ingenios azucareros que cumplan con los criterios de eficiencia que establezca la CRE y de emisiones establecidos por la Secretaría de Medio Ambiente y Recursos Naturales; (m) La energía generada por centrales térmicas con procesos de captura y almacenamiento geológico o </w:t>
      </w:r>
      <w:proofErr w:type="spellStart"/>
      <w:r>
        <w:t>biosecuestro</w:t>
      </w:r>
      <w:proofErr w:type="spellEnd"/>
      <w:r>
        <w:t xml:space="preserve"> de bióxido de carbono que tengan una eficiencia igual o superior en términos de </w:t>
      </w:r>
      <w:proofErr w:type="spellStart"/>
      <w:r>
        <w:t>kWh</w:t>
      </w:r>
      <w:proofErr w:type="spellEnd"/>
      <w:r>
        <w:t>-generado por tonelada de bióxido de carbono equivalente emitida a la atmósfera a la eficiencia mínima que establezca la CRE y los criterios de emisiones establecidos por la Secretaría de Medio Ambiente y Recursos Naturales; (n) Tecnologías consideradas de bajas emisiones de carbono conforme a estándares internacionales, y (o) Otras tecnologías que determinen la Secretaría y la Secretaría de Medio Ambiente y Recursos Naturales, con base en parámetros y normas de eficiencia energética e hídrica, emisiones a la atmósfera y generación de residuos, de manera directa, indirecta o en ciclo de vida.</w:t>
      </w:r>
    </w:p>
    <w:p w14:paraId="67D792FE" w14:textId="1248590E" w:rsidR="00DF5191" w:rsidRPr="00C90A41" w:rsidRDefault="00B95978">
      <w:pPr>
        <w:spacing w:before="180" w:after="120" w:line="240" w:lineRule="auto"/>
        <w:ind w:firstLine="567"/>
        <w:jc w:val="both"/>
      </w:pPr>
      <w:r>
        <w:rPr>
          <w:b/>
        </w:rPr>
        <w:t>Entidad Responsable de Carga:</w:t>
      </w:r>
      <w:r>
        <w:t xml:space="preserve"> Cualquier representante de Centros de Carga: Suministradores de Servicios Básicos, Suministradores de Servicios Calificados, Suministradores de Último Recurso, Usuarios Calificados Participantes del Mercado o Generadores de Intermediación.</w:t>
      </w:r>
    </w:p>
    <w:p w14:paraId="3842D4FD" w14:textId="5F081E35" w:rsidR="003A4897" w:rsidRDefault="00B95978">
      <w:pPr>
        <w:spacing w:before="180" w:after="120" w:line="240" w:lineRule="auto"/>
        <w:ind w:firstLine="567"/>
        <w:jc w:val="both"/>
      </w:pPr>
      <w:r>
        <w:rPr>
          <w:b/>
        </w:rPr>
        <w:t>Factores de Ajuste Horarios</w:t>
      </w:r>
      <w:r>
        <w:t>: Los factores establecidos por el CENACE en la Subasta, con el fin de calcular el valor de la Energía Producida de acuerdo a lo previsto en la disposición 2.8 del Manual.</w:t>
      </w:r>
    </w:p>
    <w:p w14:paraId="76F1B53D" w14:textId="77777777" w:rsidR="003A4897" w:rsidRDefault="00B95978">
      <w:pPr>
        <w:spacing w:before="180" w:after="120" w:line="240" w:lineRule="auto"/>
        <w:ind w:firstLine="567"/>
        <w:jc w:val="both"/>
      </w:pPr>
      <w:r>
        <w:rPr>
          <w:b/>
        </w:rPr>
        <w:lastRenderedPageBreak/>
        <w:t>Fallo:</w:t>
      </w:r>
      <w:r>
        <w:t xml:space="preserve"> El acto jurídico mediante el cual el CENACE define cuáles de las Ofertas de Venta presentadas por los Licitantes en una Subasta han sido seleccionadas y asigna el o los Contratos correspondientes para que las mismas queden vinculadas con la respectiva Oferta de Compra.</w:t>
      </w:r>
    </w:p>
    <w:p w14:paraId="31C2E25E" w14:textId="369C89BB" w:rsidR="003A4897" w:rsidRDefault="00B95978" w:rsidP="001055D5">
      <w:pPr>
        <w:spacing w:before="180" w:after="120" w:line="240" w:lineRule="auto"/>
        <w:ind w:firstLine="567"/>
        <w:jc w:val="both"/>
      </w:pPr>
      <w:r>
        <w:rPr>
          <w:b/>
        </w:rPr>
        <w:t>Fecha de Operación Comercial Estándar:</w:t>
      </w:r>
      <w:r>
        <w:t xml:space="preserve"> El 1 de enero de 2019.</w:t>
      </w:r>
    </w:p>
    <w:p w14:paraId="1C72F7B5" w14:textId="358D203E" w:rsidR="003A4897" w:rsidRDefault="00B95978" w:rsidP="001055D5">
      <w:pPr>
        <w:spacing w:before="180" w:after="120" w:line="240" w:lineRule="auto"/>
        <w:ind w:firstLine="567"/>
        <w:jc w:val="both"/>
      </w:pPr>
      <w:r>
        <w:rPr>
          <w:b/>
        </w:rPr>
        <w:t>Fecha de Operación Comercial Ofertada:</w:t>
      </w:r>
      <w:r>
        <w:t xml:space="preserve"> La fecha de inicio de operación señalada por el Licitante en su Oferta de Venta de conformidad con lo previsto en el numeral 4.4.2 de las Bases de Licitación, la cual podrá ser hasta un año antes o dos años después de la Fecha de Operación Comercial Estándar.</w:t>
      </w:r>
    </w:p>
    <w:p w14:paraId="0195A024" w14:textId="11AF17E5" w:rsidR="003A4897" w:rsidRDefault="00B95978">
      <w:pPr>
        <w:spacing w:before="180" w:after="120" w:line="240" w:lineRule="auto"/>
        <w:ind w:firstLine="567"/>
        <w:jc w:val="both"/>
      </w:pPr>
      <w:r>
        <w:rPr>
          <w:b/>
        </w:rPr>
        <w:t xml:space="preserve">Garantía de Cumplimiento: </w:t>
      </w:r>
      <w:r>
        <w:t>Es el instrumento mediante el cual el Vendedor garantiza al Comprador, o el Comprador garantiza al Vendedor, el cumplimiento de las obligaciones que asume en un Contrato de acuerdo con lo establecido en el mismo.</w:t>
      </w:r>
    </w:p>
    <w:p w14:paraId="642D4032" w14:textId="77777777" w:rsidR="003A4897" w:rsidRDefault="00B95978">
      <w:pPr>
        <w:spacing w:before="180" w:after="120" w:line="240" w:lineRule="auto"/>
        <w:ind w:firstLine="567"/>
        <w:jc w:val="both"/>
      </w:pPr>
      <w:r>
        <w:rPr>
          <w:b/>
        </w:rPr>
        <w:t xml:space="preserve">Garantía de Interconexión: </w:t>
      </w:r>
      <w:r>
        <w:t xml:space="preserve">La carta o cartas de crédito incondicionales e irrevocables </w:t>
      </w:r>
      <w:r>
        <w:rPr>
          <w:i/>
        </w:rPr>
        <w:t>standby</w:t>
      </w:r>
      <w:r>
        <w:t xml:space="preserve"> emitidas en favor del CENACE para garantizar el cumplimiento de las obligaciones que asuma el Licitante o la Sociedad de Propósito Específico respecto a la interconexión de la Central Eléctrica con la que pretenda honrar su Oferta de Venta en términos de las disposiciones jurídicas aplicables.</w:t>
      </w:r>
    </w:p>
    <w:p w14:paraId="3704A412" w14:textId="00E4E4E5" w:rsidR="003A4897" w:rsidRDefault="00B95978" w:rsidP="001055D5">
      <w:pPr>
        <w:spacing w:before="180" w:after="120" w:line="240" w:lineRule="auto"/>
        <w:ind w:firstLine="567"/>
        <w:jc w:val="both"/>
      </w:pPr>
      <w:r>
        <w:rPr>
          <w:b/>
        </w:rPr>
        <w:t>Garantía de Seriedad:</w:t>
      </w:r>
      <w:r>
        <w:t xml:space="preserve"> La carta o cartas de crédito incondicionales e irrevocables standby emitidas en favor del CENACE para garantizar el cumplimiento de las obligaciones que asuma el Licitante en la Subasta.</w:t>
      </w:r>
    </w:p>
    <w:p w14:paraId="481706AD" w14:textId="77777777" w:rsidR="003A4897" w:rsidRDefault="00B95978">
      <w:pPr>
        <w:spacing w:before="180" w:after="120" w:line="240" w:lineRule="auto"/>
        <w:ind w:firstLine="567"/>
        <w:jc w:val="both"/>
      </w:pPr>
      <w:r>
        <w:rPr>
          <w:b/>
        </w:rPr>
        <w:t>Generador:</w:t>
      </w:r>
      <w:r>
        <w:t xml:space="preserve"> Titular de uno o varios permisos para generar electricidad en Centrales Eléctricas, o bien, titular de un contrato de Participante del Mercado que representa en el Mercado Eléctrico Mayorista a dichas centrales o, con la autorización de la CRE, a las Centrales Eléctricas ubicadas en el extranjero.</w:t>
      </w:r>
    </w:p>
    <w:p w14:paraId="36680745" w14:textId="0450713A" w:rsidR="003A4897" w:rsidRDefault="00B95978">
      <w:pPr>
        <w:spacing w:before="180" w:after="120" w:line="240" w:lineRule="auto"/>
        <w:ind w:firstLine="567"/>
        <w:jc w:val="both"/>
      </w:pPr>
      <w:r>
        <w:rPr>
          <w:b/>
        </w:rPr>
        <w:t>Instructivo</w:t>
      </w:r>
      <w:r>
        <w:t>: Instructivo de capacitación para el uso del Sitio a que se refiere la disposición 5.1.4(c) del Manual.</w:t>
      </w:r>
    </w:p>
    <w:p w14:paraId="4FEBB589" w14:textId="5DA93E5B" w:rsidR="003A4897" w:rsidRDefault="00B95978">
      <w:pPr>
        <w:spacing w:before="180" w:after="120" w:line="240" w:lineRule="auto"/>
        <w:ind w:firstLine="567"/>
        <w:jc w:val="both"/>
      </w:pPr>
      <w:r>
        <w:rPr>
          <w:b/>
        </w:rPr>
        <w:t>Interesado</w:t>
      </w:r>
      <w:r>
        <w:t>: Cualquier persona física o moral que realice actuaciones en la Subasta sin tener aún el carácter de Comprador Potencial o Licitante.</w:t>
      </w:r>
    </w:p>
    <w:p w14:paraId="20A02FF3" w14:textId="0DDC353B" w:rsidR="003A4897" w:rsidRDefault="00B95978">
      <w:pPr>
        <w:spacing w:before="180" w:after="120" w:line="240" w:lineRule="auto"/>
        <w:ind w:firstLine="567"/>
        <w:jc w:val="both"/>
      </w:pPr>
      <w:r>
        <w:rPr>
          <w:b/>
        </w:rPr>
        <w:t xml:space="preserve">IVA: </w:t>
      </w:r>
      <w:r>
        <w:t>Impuesto al Valor Agregado.</w:t>
      </w:r>
    </w:p>
    <w:p w14:paraId="3C5C3553" w14:textId="77777777" w:rsidR="003A4897" w:rsidRDefault="00B95978">
      <w:pPr>
        <w:spacing w:before="180" w:after="120" w:line="240" w:lineRule="auto"/>
        <w:ind w:firstLine="567"/>
        <w:jc w:val="both"/>
      </w:pPr>
      <w:r>
        <w:rPr>
          <w:b/>
        </w:rPr>
        <w:t>Licitante:</w:t>
      </w:r>
      <w:r>
        <w:t xml:space="preserve"> La persona o Consorcio que participa en una Subasta de Largo Plazo determinada mediante la presentación de una o varias Ofertas de Venta.</w:t>
      </w:r>
    </w:p>
    <w:p w14:paraId="387685E6" w14:textId="77777777" w:rsidR="003A4897" w:rsidRDefault="00B95978">
      <w:pPr>
        <w:spacing w:before="180" w:after="120" w:line="240" w:lineRule="auto"/>
        <w:ind w:firstLine="567"/>
        <w:jc w:val="both"/>
      </w:pPr>
      <w:r>
        <w:rPr>
          <w:b/>
        </w:rPr>
        <w:t xml:space="preserve">Manual de Garantías de Cumplimiento: </w:t>
      </w:r>
      <w:r>
        <w:t xml:space="preserve">El Manual de Prácticas del Mercado que establece los principios de cálculo, reglas, instrucciones, directrices, ejemplos y procedimientos a seguir para que el CENACE pueda administrar adecuadamente el riesgo de que los Participantes del Mercado </w:t>
      </w:r>
      <w:r>
        <w:lastRenderedPageBreak/>
        <w:t>incumplan con las obligaciones de pago que asuman frente al CENACE respecto a su participación y a las transacciones que realicen en el Mercado Eléctrico Mayorista.</w:t>
      </w:r>
    </w:p>
    <w:p w14:paraId="35FB8CBE" w14:textId="528050F8" w:rsidR="003A4897" w:rsidRDefault="00B95978">
      <w:pPr>
        <w:spacing w:before="180" w:after="120" w:line="240" w:lineRule="auto"/>
        <w:ind w:firstLine="567"/>
        <w:jc w:val="both"/>
      </w:pPr>
      <w:r>
        <w:rPr>
          <w:b/>
        </w:rPr>
        <w:t>Manual</w:t>
      </w:r>
      <w:r>
        <w:t>: Manual de Subastas de Largo Plazo, publicado en el DOF el 19 de noviembre de 2015.</w:t>
      </w:r>
    </w:p>
    <w:p w14:paraId="0E5313BE" w14:textId="77777777" w:rsidR="003A4897" w:rsidRDefault="00B95978">
      <w:pPr>
        <w:spacing w:before="180" w:after="120" w:line="240" w:lineRule="auto"/>
        <w:ind w:firstLine="567"/>
        <w:jc w:val="both"/>
      </w:pPr>
      <w:r>
        <w:rPr>
          <w:b/>
        </w:rPr>
        <w:t>Manuales de Prácticas de Mercado:</w:t>
      </w:r>
      <w:r>
        <w:t xml:space="preserve"> Las Disposiciones Operativas del Mercado que establecen los principios de cálculo, instrucciones, reglas, directrices, ejemplos y los procedimientos a seguir para la administración, operación y planeación del Mercado Eléctrico Mayorista.</w:t>
      </w:r>
    </w:p>
    <w:p w14:paraId="242914C6" w14:textId="77777777" w:rsidR="003A4897" w:rsidRDefault="00B95978">
      <w:pPr>
        <w:spacing w:before="180" w:after="120" w:line="240" w:lineRule="auto"/>
        <w:ind w:firstLine="567"/>
        <w:jc w:val="both"/>
      </w:pPr>
      <w:r>
        <w:rPr>
          <w:b/>
        </w:rPr>
        <w:t>Mercado Eléctrico Mayorista:</w:t>
      </w:r>
      <w:r>
        <w:t xml:space="preserve"> Mercado operado por el CENACE en el que los Participantes del Mercado podrán realizar las transacciones señaladas en el artículo 96 de la Ley de la Industria Eléctrica.</w:t>
      </w:r>
    </w:p>
    <w:p w14:paraId="570EC4F9" w14:textId="77777777" w:rsidR="003A4897" w:rsidRDefault="00B95978">
      <w:pPr>
        <w:spacing w:before="180" w:after="120" w:line="240" w:lineRule="auto"/>
        <w:ind w:firstLine="567"/>
        <w:jc w:val="both"/>
      </w:pPr>
      <w:r>
        <w:rPr>
          <w:b/>
        </w:rPr>
        <w:t>Mercado para el Balance de Potencia:</w:t>
      </w:r>
      <w:r>
        <w:t xml:space="preserve"> Mercado cuyos participantes podrán comprar y vender Potencia cada año para cubrir los desbalances que puedan existir respecto a Transacciones Bilaterales de Potencia y los requisitos de Potencia que establezca la CRE para Entidades Responsables de Carga.</w:t>
      </w:r>
    </w:p>
    <w:p w14:paraId="6CA76483" w14:textId="77777777" w:rsidR="003A4897" w:rsidRPr="0040515D" w:rsidRDefault="00B95978">
      <w:pPr>
        <w:spacing w:before="180" w:after="120" w:line="240" w:lineRule="auto"/>
        <w:ind w:firstLine="567"/>
        <w:jc w:val="both"/>
        <w:rPr>
          <w:lang w:val="en-US"/>
        </w:rPr>
      </w:pPr>
      <w:r w:rsidRPr="0040515D">
        <w:rPr>
          <w:b/>
          <w:lang w:val="en-US"/>
        </w:rPr>
        <w:t>MW:</w:t>
      </w:r>
      <w:r w:rsidRPr="0040515D">
        <w:rPr>
          <w:lang w:val="en-US"/>
        </w:rPr>
        <w:t xml:space="preserve"> Megawatt.</w:t>
      </w:r>
    </w:p>
    <w:p w14:paraId="6CC7F08B" w14:textId="77777777" w:rsidR="003A4897" w:rsidRPr="0040515D" w:rsidRDefault="00B95978">
      <w:pPr>
        <w:spacing w:before="180" w:after="120" w:line="240" w:lineRule="auto"/>
        <w:ind w:firstLine="567"/>
        <w:jc w:val="both"/>
        <w:rPr>
          <w:lang w:val="en-US"/>
        </w:rPr>
      </w:pPr>
      <w:r w:rsidRPr="0040515D">
        <w:rPr>
          <w:b/>
          <w:lang w:val="en-US"/>
        </w:rPr>
        <w:t>MWh:</w:t>
      </w:r>
      <w:r w:rsidRPr="0040515D">
        <w:rPr>
          <w:lang w:val="en-US"/>
        </w:rPr>
        <w:t xml:space="preserve"> Megawatt hora.</w:t>
      </w:r>
    </w:p>
    <w:p w14:paraId="4D64078C" w14:textId="5ABE1EF5" w:rsidR="003A4897" w:rsidRDefault="00B95978">
      <w:pPr>
        <w:spacing w:before="180" w:after="120" w:line="240" w:lineRule="auto"/>
        <w:ind w:firstLine="567"/>
        <w:jc w:val="both"/>
      </w:pPr>
      <w:r>
        <w:rPr>
          <w:b/>
        </w:rPr>
        <w:t xml:space="preserve">Oferta de Compra: </w:t>
      </w:r>
      <w:r>
        <w:t>Oferta para comprar una cantidad determinada de Potencia, Energía Eléctrica Acumulable o CEL, presentada en esta Subasta, por el Suministrador de Servicios Básicos en los términos de las Bases del Mercado Eléctrico, el Manual y las Bases de Licitación.</w:t>
      </w:r>
    </w:p>
    <w:p w14:paraId="118253DD" w14:textId="77777777" w:rsidR="003A4897" w:rsidRDefault="00B95978">
      <w:pPr>
        <w:spacing w:before="180" w:after="120" w:line="240" w:lineRule="auto"/>
        <w:ind w:firstLine="567"/>
        <w:jc w:val="both"/>
      </w:pPr>
      <w:r>
        <w:rPr>
          <w:b/>
        </w:rPr>
        <w:t>Oferta de Venta:</w:t>
      </w:r>
      <w:r>
        <w:t xml:space="preserve"> La oferta realizada en una Subasta de Largo Plazo para vender una cantidad determinada de Potencia, Energía Eléctrica Acumulable o CEL en paquete en los términos de las Bases del Mercado Eléctrico, el Manual y las Bases de Licitación, que se compone de una oferta técnica y una oferta económica. La oferta técnica se define mediante la solicitud de precalificación de la Oferta de Venta, y se ratifica mediante la presentación de la oferta económica.</w:t>
      </w:r>
    </w:p>
    <w:p w14:paraId="4FD7FC22" w14:textId="523E018E" w:rsidR="003A4897" w:rsidRDefault="00B95978">
      <w:pPr>
        <w:spacing w:before="180" w:after="120" w:line="240" w:lineRule="auto"/>
        <w:ind w:firstLine="567"/>
        <w:jc w:val="both"/>
      </w:pPr>
      <w:r>
        <w:rPr>
          <w:b/>
        </w:rPr>
        <w:t>Ofertas de Compra Aceptadas</w:t>
      </w:r>
      <w:r>
        <w:t>: Tiene el significado que a dicho término se le atribuye en la disposición 5.5.4(a) del Manual y tendrá el tratamiento establecido en el numeral 4.5.</w:t>
      </w:r>
    </w:p>
    <w:p w14:paraId="2BF07CB2" w14:textId="77777777" w:rsidR="003A4897" w:rsidRDefault="00B95978">
      <w:pPr>
        <w:spacing w:before="180" w:after="120" w:line="240" w:lineRule="auto"/>
        <w:ind w:firstLine="567"/>
        <w:jc w:val="both"/>
      </w:pPr>
      <w:r>
        <w:rPr>
          <w:b/>
        </w:rPr>
        <w:t>Participante del Mercado:</w:t>
      </w:r>
      <w:r>
        <w:t xml:space="preserve"> Persona que celebra el contrato respectivo con el CENACE en modalidad de Generador, Comercializador, Suministrador, Comercializador no Suministrador o Usuario Calificado;</w:t>
      </w:r>
    </w:p>
    <w:p w14:paraId="43EC720F" w14:textId="77777777" w:rsidR="003A4897" w:rsidRDefault="00B95978">
      <w:pPr>
        <w:spacing w:before="180" w:after="120" w:line="240" w:lineRule="auto"/>
        <w:ind w:firstLine="567"/>
        <w:jc w:val="both"/>
      </w:pPr>
      <w:r>
        <w:rPr>
          <w:b/>
        </w:rPr>
        <w:t>Peso:</w:t>
      </w:r>
      <w:r>
        <w:t xml:space="preserve"> Moneda de curso legal en México.</w:t>
      </w:r>
    </w:p>
    <w:p w14:paraId="60E08888" w14:textId="7A996A9F" w:rsidR="003A4897" w:rsidRDefault="00B95978">
      <w:pPr>
        <w:spacing w:before="180" w:after="120" w:line="240" w:lineRule="auto"/>
        <w:ind w:firstLine="567"/>
        <w:jc w:val="both"/>
      </w:pPr>
      <w:r>
        <w:rPr>
          <w:b/>
        </w:rPr>
        <w:t>PIIRCE</w:t>
      </w:r>
      <w:r>
        <w:t>: Programa Indicativo para la Instalación y Retiro de Centrales Eléctricas.</w:t>
      </w:r>
    </w:p>
    <w:p w14:paraId="20E2B681" w14:textId="003EFDEE" w:rsidR="003A4897" w:rsidRDefault="00B95978">
      <w:pPr>
        <w:spacing w:before="180" w:after="120" w:line="240" w:lineRule="auto"/>
        <w:ind w:firstLine="567"/>
        <w:jc w:val="both"/>
      </w:pPr>
      <w:r>
        <w:rPr>
          <w:b/>
        </w:rPr>
        <w:lastRenderedPageBreak/>
        <w:t>Potencia</w:t>
      </w:r>
      <w:r>
        <w:t xml:space="preserve">: Tiene el significado que se le atribuye en las Bases 2.1.97, 11.1.4(b) y 11.1.4(e), y corresponde al producto comercial que un Generador pueden vender a través de Contratos de Cobertura Eléctrica cuando ese Generador: </w:t>
      </w:r>
      <w:r>
        <w:rPr>
          <w:b/>
        </w:rPr>
        <w:t>(a)</w:t>
      </w:r>
      <w:r>
        <w:t xml:space="preserve"> la obtenga en función de su Capacidad Entregada, es decir, de la cantidad de potencia que las centrales eléctricas o unidades de central eléctrica que represente en el Mercado Eléctrico Mayorista efectivamente hayan puesto a disposición del SEN, en las horas críticas de cada año de acuerdo con el cálculo que al efecto realice el CENACE después de transcurrido dicho año, o bien, </w:t>
      </w:r>
      <w:r>
        <w:rPr>
          <w:b/>
        </w:rPr>
        <w:t>(b)</w:t>
      </w:r>
      <w:r>
        <w:t xml:space="preserve"> quede obligado a adquirirla directamente en el Mercado para el Balance de Potencia de conformidad con lo previsto en las Bases del Mercado Eléctrico y los manuales de prácticas del mercado correspondientes.</w:t>
      </w:r>
    </w:p>
    <w:p w14:paraId="34803853" w14:textId="77777777" w:rsidR="003A4897" w:rsidRDefault="00B95978">
      <w:pPr>
        <w:spacing w:before="180" w:after="120" w:line="240" w:lineRule="auto"/>
        <w:ind w:firstLine="567"/>
        <w:jc w:val="both"/>
      </w:pPr>
      <w:r>
        <w:rPr>
          <w:b/>
        </w:rPr>
        <w:t>Precio Marginal Local:</w:t>
      </w:r>
      <w:r>
        <w:t xml:space="preserve"> Precio marginal de energía eléctrica en un NodoP en el Modelo Comercial de Mercado, calculado por el CENACE para el Mercado de Energía de Corto Plazo.</w:t>
      </w:r>
    </w:p>
    <w:p w14:paraId="35FD8A3D" w14:textId="606D7BBD" w:rsidR="003A4897" w:rsidRDefault="00B95978">
      <w:pPr>
        <w:spacing w:before="180" w:after="120" w:line="240" w:lineRule="auto"/>
        <w:ind w:firstLine="567"/>
        <w:jc w:val="both"/>
      </w:pPr>
      <w:r>
        <w:rPr>
          <w:b/>
        </w:rPr>
        <w:t>Producto</w:t>
      </w:r>
      <w:r>
        <w:t>: Cualquiera de los productos que podrán adquirir los Suministradores de Servicios Básicos a través de la Subasta; es decir, Potencia, Energía Eléctrica Acumulable y/o CEL.</w:t>
      </w:r>
    </w:p>
    <w:p w14:paraId="5AAD27F1" w14:textId="10F2A276" w:rsidR="003A4897" w:rsidRDefault="00B95978">
      <w:pPr>
        <w:spacing w:before="180" w:after="120" w:line="240" w:lineRule="auto"/>
        <w:ind w:firstLine="567"/>
        <w:jc w:val="both"/>
      </w:pPr>
      <w:r>
        <w:rPr>
          <w:b/>
        </w:rPr>
        <w:t>Reglamento</w:t>
      </w:r>
      <w:r>
        <w:t>: Reglamento de la Ley, publicado en el DOF el 31 de octubre de 2014.</w:t>
      </w:r>
    </w:p>
    <w:p w14:paraId="3FE223F7" w14:textId="77777777" w:rsidR="003A4897" w:rsidRDefault="00B95978">
      <w:pPr>
        <w:spacing w:before="180" w:after="120" w:line="240" w:lineRule="auto"/>
        <w:ind w:firstLine="567"/>
        <w:jc w:val="both"/>
      </w:pPr>
      <w:r>
        <w:rPr>
          <w:b/>
        </w:rPr>
        <w:t xml:space="preserve">Reglas del Mercado: </w:t>
      </w:r>
      <w:r>
        <w:t>Conjuntamente, las Bases del Mercado Eléctrico y las Disposiciones Operativas del Mercado, que rigen al Mercado Eléctrico Mayorista.</w:t>
      </w:r>
    </w:p>
    <w:p w14:paraId="618A8548" w14:textId="4F4F535D" w:rsidR="003A4897" w:rsidRDefault="00B95978">
      <w:pPr>
        <w:spacing w:before="180" w:after="120" w:line="240" w:lineRule="auto"/>
        <w:ind w:firstLine="567"/>
        <w:jc w:val="both"/>
      </w:pPr>
      <w:bookmarkStart w:id="0" w:name="h.gjdgxs" w:colFirst="0" w:colLast="0"/>
      <w:bookmarkEnd w:id="0"/>
      <w:r>
        <w:rPr>
          <w:b/>
        </w:rPr>
        <w:t xml:space="preserve">RNT: </w:t>
      </w:r>
      <w:r>
        <w:t>Red Nacional de Transmisión.</w:t>
      </w:r>
    </w:p>
    <w:p w14:paraId="1A281119" w14:textId="77777777" w:rsidR="003A4897" w:rsidRDefault="00B95978">
      <w:pPr>
        <w:spacing w:before="180" w:after="120" w:line="240" w:lineRule="auto"/>
        <w:ind w:firstLine="567"/>
        <w:jc w:val="both"/>
      </w:pPr>
      <w:r>
        <w:rPr>
          <w:b/>
        </w:rPr>
        <w:t>SCADA:</w:t>
      </w:r>
      <w:r>
        <w:t xml:space="preserve"> Sistema informático compuesto por una o más estaciones maestras, ubicadas en un centro de control, conectadas por un sistema de comunicaciones a un número de unidades terminales remotas, ubicadas en diferentes instalaciones, que permite controlar y supervisar el sistema eléctrico, facilitando retroalimentación en tiempo real sobre mediciones y el estado de los equipos en campo, y permitiendo control sobre los mismos.</w:t>
      </w:r>
    </w:p>
    <w:p w14:paraId="0E249BD1" w14:textId="36514FEC" w:rsidR="003A4897" w:rsidRDefault="00B95978" w:rsidP="00165C29">
      <w:pPr>
        <w:spacing w:before="180" w:after="120" w:line="240" w:lineRule="auto"/>
        <w:ind w:firstLine="567"/>
        <w:jc w:val="both"/>
      </w:pPr>
      <w:r>
        <w:rPr>
          <w:b/>
        </w:rPr>
        <w:t>SEN:</w:t>
      </w:r>
      <w:r>
        <w:t xml:space="preserve"> Sistema Eléctrico Nacional.</w:t>
      </w:r>
    </w:p>
    <w:p w14:paraId="2D7A4917" w14:textId="46E233BA" w:rsidR="003A4897" w:rsidRDefault="00B95978">
      <w:pPr>
        <w:spacing w:before="180" w:after="120" w:line="240" w:lineRule="auto"/>
        <w:ind w:firstLine="567"/>
        <w:jc w:val="both"/>
      </w:pPr>
      <w:r>
        <w:rPr>
          <w:b/>
        </w:rPr>
        <w:t xml:space="preserve">Sitio: </w:t>
      </w:r>
      <w:r w:rsidR="001B1BC4" w:rsidRPr="008D0E0D">
        <w:t xml:space="preserve">Plataforma electrónica </w:t>
      </w:r>
      <w:r w:rsidR="001B1BC4">
        <w:t xml:space="preserve">creada para el desarrollo de la Subasta y </w:t>
      </w:r>
      <w:r w:rsidR="001B1BC4" w:rsidRPr="008D0E0D">
        <w:t xml:space="preserve">a la que se podrá tener acceso </w:t>
      </w:r>
      <w:r w:rsidR="001B1BC4">
        <w:t>en la liga:</w:t>
      </w:r>
      <w:r w:rsidR="001B1BC4" w:rsidRPr="00D607CE">
        <w:t xml:space="preserve"> </w:t>
      </w:r>
      <w:hyperlink r:id="rId7" w:history="1">
        <w:r w:rsidR="001B1BC4" w:rsidRPr="00D607CE">
          <w:rPr>
            <w:rStyle w:val="Hipervnculo"/>
          </w:rPr>
          <w:t>http://www.cenace.gob.mx/Paginas/Publicas/MercadoOperacion/SubastasLP.aspx</w:t>
        </w:r>
      </w:hyperlink>
      <w:r w:rsidR="001B1BC4" w:rsidRPr="00BB0E66">
        <w:rPr>
          <w:rStyle w:val="Hipervnculo"/>
        </w:rPr>
        <w:t xml:space="preserve"> o</w:t>
      </w:r>
      <w:r w:rsidR="001B1BC4">
        <w:rPr>
          <w:rStyle w:val="Hipervnculo"/>
        </w:rPr>
        <w:t xml:space="preserve"> </w:t>
      </w:r>
      <w:r w:rsidR="00B005FD" w:rsidRPr="00B005FD">
        <w:rPr>
          <w:color w:val="0000FF"/>
        </w:rPr>
        <w:t>https://rsc.rmmi.com/cenace/site/auth/login</w:t>
      </w:r>
      <w:r w:rsidR="00F945E1">
        <w:t>.</w:t>
      </w:r>
      <w:bookmarkStart w:id="1" w:name="_GoBack"/>
      <w:bookmarkEnd w:id="1"/>
    </w:p>
    <w:p w14:paraId="4752B89E" w14:textId="77777777" w:rsidR="003A4897" w:rsidRDefault="00B95978">
      <w:pPr>
        <w:spacing w:before="180" w:after="120" w:line="240" w:lineRule="auto"/>
        <w:ind w:firstLine="567"/>
        <w:jc w:val="both"/>
      </w:pPr>
      <w:r>
        <w:rPr>
          <w:b/>
        </w:rPr>
        <w:t>Sociedad de Propósito Específico:</w:t>
      </w:r>
      <w:r>
        <w:t xml:space="preserve"> La persona moral constituida por un Licitante en los términos de su o sus Ofertas de Venta con el objeto de que sea esa persona moral la que suscriba con el carácter de Vendedor el o los Contratos que le hayan sido asignados a ese Licitante en una Subasta, de conformidad con lo previsto en el Manual y las Bases de Licitación.</w:t>
      </w:r>
    </w:p>
    <w:p w14:paraId="4B816741" w14:textId="78E4A83E" w:rsidR="003A4897" w:rsidRDefault="00B95978">
      <w:pPr>
        <w:spacing w:before="180" w:after="120" w:line="240" w:lineRule="auto"/>
        <w:ind w:firstLine="567"/>
        <w:jc w:val="both"/>
      </w:pPr>
      <w:r>
        <w:rPr>
          <w:b/>
        </w:rPr>
        <w:t>Subasta:</w:t>
      </w:r>
      <w:r>
        <w:t xml:space="preserve"> La Subasta de Largo Plazo SLP-1/2016 convocada por el CENACE el 29 de abril de 2019.</w:t>
      </w:r>
    </w:p>
    <w:p w14:paraId="3E630AFF" w14:textId="77777777" w:rsidR="003A4897" w:rsidRDefault="00B95978">
      <w:pPr>
        <w:spacing w:before="180" w:after="120" w:line="240" w:lineRule="auto"/>
        <w:ind w:firstLine="567"/>
        <w:jc w:val="both"/>
      </w:pPr>
      <w:r>
        <w:rPr>
          <w:b/>
        </w:rPr>
        <w:lastRenderedPageBreak/>
        <w:t>Subastas de Largo Plazo:</w:t>
      </w:r>
      <w:r>
        <w:t xml:space="preserve"> Subastas en las cuales los Suministradores de Servicios Básicos y otras Entidades Responsables de Carga pueden celebrar contratos de cobertura con Generadores para Potencia, Energía Eléctrica Acumulable y Certificados de Energías Limpias con vigencia de 15 y 20 años.</w:t>
      </w:r>
    </w:p>
    <w:p w14:paraId="78A99F11" w14:textId="77777777" w:rsidR="003A4897" w:rsidRDefault="00B95978">
      <w:pPr>
        <w:spacing w:before="180" w:after="120" w:line="240" w:lineRule="auto"/>
        <w:ind w:firstLine="567"/>
        <w:jc w:val="both"/>
      </w:pPr>
      <w:r>
        <w:rPr>
          <w:b/>
        </w:rPr>
        <w:t>Suministrador de Servicios Básicos:</w:t>
      </w:r>
      <w:r>
        <w:t xml:space="preserve"> Tiene el significado que se le atribuye en el artículo 3, fracción XLVI, de la Ley y para efectos de esta Subasta será la empresa productiva del estado CFE Suministrador de Servicios Básicos, la cual es actualmente el único Suministrador de Servicios Básicos legalmente existente en México y por tanto la única persona que puede actuar como Comprador Potencial en la Subasta.</w:t>
      </w:r>
    </w:p>
    <w:p w14:paraId="1E48457D" w14:textId="77777777" w:rsidR="003A4897" w:rsidRDefault="00B95978">
      <w:pPr>
        <w:spacing w:before="180" w:after="120" w:line="240" w:lineRule="auto"/>
        <w:ind w:firstLine="567"/>
        <w:jc w:val="both"/>
      </w:pPr>
      <w:r>
        <w:rPr>
          <w:b/>
        </w:rPr>
        <w:t xml:space="preserve">Suministro Básico: </w:t>
      </w:r>
      <w:r>
        <w:t>El Suministro Eléctrico que se provee bajo regulación tarifaria a cualquier persona que lo solicite que no sea Usuario Calificado.</w:t>
      </w:r>
    </w:p>
    <w:p w14:paraId="559E9F0E" w14:textId="77777777" w:rsidR="003A4897" w:rsidRDefault="00B95978">
      <w:pPr>
        <w:spacing w:before="180" w:after="120" w:line="240" w:lineRule="auto"/>
        <w:ind w:firstLine="567"/>
        <w:jc w:val="both"/>
      </w:pPr>
      <w:r>
        <w:rPr>
          <w:b/>
        </w:rPr>
        <w:t xml:space="preserve">Suministro Eléctrico: </w:t>
      </w:r>
      <w:r>
        <w:t>Conjunto de productos y servicios requeridos para satisfacer la demanda y el consumo de energía eléctrica de los Usuarios Finales, regulado cuando corresponda por la CRE, y que comprende: (a) Representación de los Usuarios Finales en el Mercado Eléctrico Mayorista; (b) Adquisición de la energía eléctrica y Productos Asociados, así como la celebración de Contratos de Cobertura Eléctrica, para satisfacer dicha demanda y consumo; (c) Enajenación de la energía eléctrica para su entrega en los Centros de Carga de los Usuarios Finales, y (d) Facturación, cobranza y atención a los Usuarios Finales.</w:t>
      </w:r>
    </w:p>
    <w:p w14:paraId="4148C356" w14:textId="2D4DB615" w:rsidR="003A4897" w:rsidRDefault="00B95978">
      <w:pPr>
        <w:spacing w:before="180" w:after="120" w:line="240" w:lineRule="auto"/>
        <w:ind w:firstLine="567"/>
        <w:jc w:val="both"/>
      </w:pPr>
      <w:r>
        <w:rPr>
          <w:b/>
        </w:rPr>
        <w:t>Tasa Social de Descuento</w:t>
      </w:r>
      <w:r>
        <w:t xml:space="preserve">: </w:t>
      </w:r>
      <w:r w:rsidR="001B1BC4" w:rsidRPr="00BC4CD8">
        <w:rPr>
          <w:szCs w:val="20"/>
        </w:rPr>
        <w:t>Tasa</w:t>
      </w:r>
      <w:r w:rsidR="001B1BC4" w:rsidRPr="00BC4CD8">
        <w:rPr>
          <w:b/>
          <w:szCs w:val="20"/>
        </w:rPr>
        <w:t xml:space="preserve"> </w:t>
      </w:r>
      <w:r w:rsidR="001B1BC4" w:rsidRPr="00BC4CD8">
        <w:t xml:space="preserve">de descuento publicada por la Secretaría de Hacienda y Crédito Público </w:t>
      </w:r>
      <w:r w:rsidR="001B1BC4">
        <w:t xml:space="preserve">en su portal de web </w:t>
      </w:r>
      <w:r w:rsidR="001B1BC4" w:rsidRPr="00BC4CD8">
        <w:t xml:space="preserve">el </w:t>
      </w:r>
      <w:r w:rsidR="001B1BC4" w:rsidRPr="00806EAF">
        <w:t>30 de octubre de 2015</w:t>
      </w:r>
      <w:r w:rsidR="001B1BC4">
        <w:t>,</w:t>
      </w:r>
      <w:r w:rsidR="001B1BC4">
        <w:rPr>
          <w:szCs w:val="20"/>
        </w:rPr>
        <w:t xml:space="preserve"> que puede ser consultada en </w:t>
      </w:r>
      <w:hyperlink r:id="rId8" w:history="1">
        <w:r w:rsidR="001B1BC4" w:rsidRPr="00A65507">
          <w:rPr>
            <w:rStyle w:val="Hipervnculo"/>
            <w:szCs w:val="20"/>
          </w:rPr>
          <w:t>http://www.gob.mx/shcp/documentos/tasa-social-de-descuento-tsd</w:t>
        </w:r>
      </w:hyperlink>
      <w:r w:rsidR="001B1BC4">
        <w:rPr>
          <w:szCs w:val="20"/>
        </w:rPr>
        <w:t xml:space="preserve"> o descargada  en la siguiente liga: </w:t>
      </w:r>
      <w:hyperlink r:id="rId9" w:history="1">
        <w:r w:rsidR="001B1BC4" w:rsidRPr="00894421">
          <w:rPr>
            <w:rStyle w:val="Hipervnculo"/>
            <w:szCs w:val="20"/>
          </w:rPr>
          <w:t>http://www.gob.mx/cms/uploads/attachment/file/23409/oficio_tasa_social_de_descuento.pdf</w:t>
        </w:r>
      </w:hyperlink>
      <w:r>
        <w:t>.</w:t>
      </w:r>
    </w:p>
    <w:p w14:paraId="3E4A6763" w14:textId="11555692" w:rsidR="003A4897" w:rsidRDefault="00B95978" w:rsidP="00CD3E19">
      <w:pPr>
        <w:spacing w:before="180" w:after="120" w:line="240" w:lineRule="auto"/>
        <w:jc w:val="both"/>
      </w:pPr>
      <w:r>
        <w:rPr>
          <w:b/>
        </w:rPr>
        <w:t xml:space="preserve">Testigo Social: </w:t>
      </w:r>
      <w:r>
        <w:t>Tiene el significado que a dicho término se le atribuye en el Acuerdo por el que se establecen los lineamientos que regulan la participación de los testigos sociales en las contrataciones que realicen las dependencias y entidades de la Administración Pública Federal, publicado en el Diario Oficial de la Federación el 16 de diciembre de 2004.</w:t>
      </w:r>
    </w:p>
    <w:p w14:paraId="476D0586" w14:textId="77777777" w:rsidR="003A4897" w:rsidRDefault="00B95978">
      <w:pPr>
        <w:spacing w:before="180" w:after="120" w:line="240" w:lineRule="auto"/>
        <w:ind w:firstLine="567"/>
        <w:jc w:val="both"/>
      </w:pPr>
      <w:r w:rsidRPr="00CE4E79">
        <w:rPr>
          <w:b/>
        </w:rPr>
        <w:t>Tecnología Similar</w:t>
      </w:r>
      <w:r w:rsidR="00CE4E79" w:rsidRPr="00CE4E79">
        <w:rPr>
          <w:b/>
        </w:rPr>
        <w:t>:</w:t>
      </w:r>
      <w:r w:rsidR="00CE4E79">
        <w:t xml:space="preserve"> Se</w:t>
      </w:r>
      <w:r>
        <w:t xml:space="preserve"> refiere a las tecnologías de generación de energía eléctrica que utilizan la misma fuente de energía primaria o secundaria.</w:t>
      </w:r>
    </w:p>
    <w:p w14:paraId="3C79C73D" w14:textId="77777777" w:rsidR="003A4897" w:rsidRDefault="00B95978">
      <w:pPr>
        <w:spacing w:before="180" w:after="120" w:line="240" w:lineRule="auto"/>
        <w:ind w:firstLine="567"/>
        <w:jc w:val="both"/>
      </w:pPr>
      <w:r>
        <w:rPr>
          <w:b/>
        </w:rPr>
        <w:t>Transacción Bilateral de Potencia:</w:t>
      </w:r>
      <w:r>
        <w:t xml:space="preserve"> Acuerdo entre Participantes de Mercado con el que transfieren la titularidad y obligaciones asociadas con una cantidad determinada de Potencia en una zona de Potencia determinada del Sistema Eléctrico Nacional, y que se informa al CENACE para efectos del Mercado para el Balance de Potencia.</w:t>
      </w:r>
    </w:p>
    <w:p w14:paraId="26DD35AB" w14:textId="77777777" w:rsidR="003A4897" w:rsidRDefault="00B95978">
      <w:pPr>
        <w:spacing w:before="180" w:after="120" w:line="240" w:lineRule="auto"/>
        <w:ind w:firstLine="567"/>
        <w:jc w:val="both"/>
      </w:pPr>
      <w:r>
        <w:rPr>
          <w:b/>
        </w:rPr>
        <w:lastRenderedPageBreak/>
        <w:t>Transacción Bilateral Financiera:</w:t>
      </w:r>
      <w:r>
        <w:t xml:space="preserve"> Acuerdo entre Participantes de Mercado con el que transfieren la responsabilidad financiera de una cantidad determinada de energía o Servicios Conexos en un NodoP o zona de Reservas determinado del Sistema Eléctrico Nacional, y que se informa al CENACE para efectos de liquidación y pago, sin que la transacción requiera la inyección o retiro físicos de energía o Servicios Conexos.</w:t>
      </w:r>
    </w:p>
    <w:p w14:paraId="0F60B80B" w14:textId="77777777" w:rsidR="003A4897" w:rsidRDefault="00B95978">
      <w:pPr>
        <w:spacing w:before="180" w:after="120" w:line="240" w:lineRule="auto"/>
        <w:ind w:firstLine="567"/>
        <w:jc w:val="both"/>
      </w:pPr>
      <w:r>
        <w:rPr>
          <w:b/>
        </w:rPr>
        <w:t xml:space="preserve">Transacciones de Importación y Exportación: </w:t>
      </w:r>
      <w:r>
        <w:t>Ofertas aceptadas en el Mercado de Energía de Corto Plazo para la venta (importación) o compra (para exportación) de energía y/o Servicios Conexos al o del Mercado Eléctrico Mayorista, y cuyo origen (importación) o destino (exportación) es un sistema eléctrico vecino e interconectado al Sistema Eléctrico Nacional.</w:t>
      </w:r>
    </w:p>
    <w:p w14:paraId="0C812616" w14:textId="77777777" w:rsidR="003A4897" w:rsidRDefault="00B95978">
      <w:pPr>
        <w:spacing w:before="180" w:after="120" w:line="240" w:lineRule="auto"/>
        <w:ind w:firstLine="567"/>
        <w:jc w:val="both"/>
      </w:pPr>
      <w:r>
        <w:rPr>
          <w:b/>
        </w:rPr>
        <w:t xml:space="preserve">UDI: </w:t>
      </w:r>
      <w:r>
        <w:t>La unidad de cuenta llamada “Unidad de Inversión” y cuyo valor en Pesos para cada día es publicado periódicamente por el Banco de México en el Diario Oficial de la Federación. Los montos denominados en UDIs serán solventados en Pesos para la realización de pagos, y serán establecidos en Pesos o Dólares cuando se trate de instrumentos de crédito, con base en el valor vigente del UDI cinco días hábiles antes de la realización del pago o la presentación del instrumento.</w:t>
      </w:r>
    </w:p>
    <w:p w14:paraId="519ED449" w14:textId="77777777" w:rsidR="003A4897" w:rsidRDefault="00B95978">
      <w:pPr>
        <w:spacing w:before="180" w:after="120" w:line="240" w:lineRule="auto"/>
        <w:ind w:firstLine="567"/>
        <w:jc w:val="both"/>
      </w:pPr>
      <w:r>
        <w:rPr>
          <w:b/>
        </w:rPr>
        <w:t>Unidad de Central Eléctrica:</w:t>
      </w:r>
      <w:r>
        <w:t xml:space="preserve"> Elementos de una Central Eléctrica que pueden ser despachados de manera independiente a otros elementos de la misma.</w:t>
      </w:r>
    </w:p>
    <w:p w14:paraId="5542DA7F" w14:textId="77777777" w:rsidR="003A4897" w:rsidRDefault="00B95978">
      <w:pPr>
        <w:spacing w:before="180" w:after="120" w:line="240" w:lineRule="auto"/>
        <w:ind w:firstLine="567"/>
        <w:jc w:val="both"/>
      </w:pPr>
      <w:r>
        <w:rPr>
          <w:b/>
        </w:rPr>
        <w:t xml:space="preserve">Vendedor: </w:t>
      </w:r>
      <w:r>
        <w:t>La persona que ha suscrito un Contrato como resultado de una Subasta, en el que se obliga a registrarse y acreditarse como Participante del Mercado con carácter de Generador y a vender a un Comprador una cantidad determinada de Potencia, Energía Eléctrica Acumulable o CEL.</w:t>
      </w:r>
    </w:p>
    <w:p w14:paraId="00C51C26" w14:textId="77777777" w:rsidR="003A4897" w:rsidRDefault="00B95978">
      <w:pPr>
        <w:spacing w:before="180" w:after="120" w:line="240" w:lineRule="auto"/>
        <w:ind w:firstLine="567"/>
        <w:jc w:val="both"/>
      </w:pPr>
      <w:r>
        <w:rPr>
          <w:b/>
        </w:rPr>
        <w:t>Zonas de Exportación:</w:t>
      </w:r>
      <w:r>
        <w:t xml:space="preserve"> Las Zonas de Generación que se utilizarán en cada Subasta para efectos de lo previsto en el inciso (c) del numeral 1.3.44, cuando el límite de disponibilidad de transmisión se refiera a la energía eléctrica que pueda ser exportada al resto del SEN, y que no necesariamente corresponderán en su extensión geográfica a las Zonas de Precios ni a las Zonas de Interconexión. Una Zona de Exportación podrá a su vez contener una o más Zonas de Exportación y a su vez estar contenida en otra Zona de Exportación.</w:t>
      </w:r>
    </w:p>
    <w:p w14:paraId="24D58166" w14:textId="77777777" w:rsidR="003A4897" w:rsidRDefault="00B95978">
      <w:pPr>
        <w:spacing w:before="180" w:after="120" w:line="240" w:lineRule="auto"/>
        <w:ind w:firstLine="567"/>
        <w:jc w:val="both"/>
      </w:pPr>
      <w:bookmarkStart w:id="2" w:name="h.30j0zll" w:colFirst="0" w:colLast="0"/>
      <w:bookmarkEnd w:id="2"/>
      <w:r>
        <w:rPr>
          <w:b/>
        </w:rPr>
        <w:t>Zonas de Generación:</w:t>
      </w:r>
      <w:r>
        <w:t xml:space="preserve"> Las zonas a que se refiere la Base 14.1.6(d)(iii) de las Bases del Mercado Eléctrico y que se utilizarán en cada Subasta para los siguientes efectos: (a) el CENACE dará a conocer la diferencia esperada entre el Precio Marginal Local en distintas Zonas de Generación, denominadas “Zona de Precios”, y el promedio de los Precios Marginales Locales del SEN, y esas diferencias serán tomadas en cuenta al comparar las Ofertas de Venta que sean recibidas en la Subasta a fin de considerar el valor de la energía eléctrica ofrecida según la Zona de Precios en la que será entregada; (b) para cada Zona de Precios el CENACE dará a conocer los Factores de Ajuste Horarios que se utilizarán para determinar el valor horario de la Energía Eléctrica Acumulable entregada al Comprador durante la vigencia de los Contratos asignados a través de la Subasta; y, (c) cuando existan restricciones relevantes de exportación de una zona geográfica al resto del SEN, el CENACE definirá y dará a conocer esa Zona de Generación y los límites de disponibilidad de </w:t>
      </w:r>
      <w:r>
        <w:lastRenderedPageBreak/>
        <w:t>transmisión que existan en ella, ya sea respecto a los límites de la energía eléctrica que pueda ser exportada de esa Zona de Generación al resto del SEN, en cuyo caso será denominada “Zona de Exportación”, o respecto a los límites de la capacidad que esa Zona de Generación pueda ser interconectada al SEN, en cuyo caso será denominada “Zona de Interconexión”, a fin de que los mismos sean observados al evaluar y, en su caso, seleccionar las Ofertas de Venta recibidas en la Subasta.</w:t>
      </w:r>
    </w:p>
    <w:p w14:paraId="2DD1E43F" w14:textId="77777777" w:rsidR="003A4897" w:rsidRDefault="00B95978">
      <w:pPr>
        <w:spacing w:before="180" w:after="120" w:line="240" w:lineRule="auto"/>
        <w:ind w:firstLine="567"/>
        <w:jc w:val="both"/>
      </w:pPr>
      <w:r>
        <w:rPr>
          <w:b/>
        </w:rPr>
        <w:t>Zonas de Interconexión:</w:t>
      </w:r>
      <w:r>
        <w:t xml:space="preserve"> Las Zonas de Generación que se utilizarán en cada Subasta para los efectos de lo previsto en el inciso (c) de la definición de Zonas de Generación, cuando el límite de disponibilidad de transmisión se refiera a la capacidad instalada que pueda interconectarse al SEN y que no necesariamente corresponderán en su extensión geográfica a las Zonas de Precios ni a las Zonas de Exportación. Una Zona de Interconexión podrá a su vez contener una o más Zonas de Interconexión y a su vez estar contenida en otra Zona de Interconexión.</w:t>
      </w:r>
    </w:p>
    <w:p w14:paraId="682E2115" w14:textId="77777777" w:rsidR="003A4897" w:rsidRDefault="00B95978">
      <w:pPr>
        <w:spacing w:before="180" w:after="120" w:line="240" w:lineRule="auto"/>
        <w:ind w:firstLine="567"/>
        <w:jc w:val="both"/>
      </w:pPr>
      <w:r>
        <w:rPr>
          <w:b/>
        </w:rPr>
        <w:t>Zonas de Potencia:</w:t>
      </w:r>
      <w:r>
        <w:t xml:space="preserve"> Las zonas a que se refieren las Bases 11.1.3 y 14.1.6 (d</w:t>
      </w:r>
      <w:proofErr w:type="gramStart"/>
      <w:r>
        <w:t>)(</w:t>
      </w:r>
      <w:proofErr w:type="gramEnd"/>
      <w:r>
        <w:t>ii) de las Bases del Mercado Eléctrico, que serán propuestas por el CENACE y autorizadas por la CRE para la definición de los requerimientos de Potencia.</w:t>
      </w:r>
    </w:p>
    <w:p w14:paraId="4CB8232B" w14:textId="77777777" w:rsidR="003A4897" w:rsidRDefault="00B95978">
      <w:pPr>
        <w:spacing w:before="180" w:after="120" w:line="240" w:lineRule="auto"/>
        <w:ind w:firstLine="567"/>
        <w:jc w:val="both"/>
      </w:pPr>
      <w:r>
        <w:rPr>
          <w:b/>
        </w:rPr>
        <w:t>Zonas de Precios:</w:t>
      </w:r>
      <w:r>
        <w:t xml:space="preserve"> Las Zonas de Generación que se utilizarán en cada Subasta para los efectos de lo previsto en los incisos (a) y (b) de la definición de Zonas de Generación, que no necesariamente corresponderán en su extensión geográfica a las Zonas de Exportación ni a las Zonas de Interconexión.</w:t>
      </w:r>
    </w:p>
    <w:p w14:paraId="4F2A066E" w14:textId="77777777" w:rsidR="003A4897" w:rsidRDefault="003A4897">
      <w:pPr>
        <w:spacing w:before="180" w:after="120"/>
        <w:jc w:val="both"/>
      </w:pPr>
    </w:p>
    <w:sectPr w:rsidR="003A4897">
      <w:headerReference w:type="even" r:id="rId10"/>
      <w:headerReference w:type="default" r:id="rId11"/>
      <w:footerReference w:type="even" r:id="rId12"/>
      <w:footerReference w:type="default" r:id="rId13"/>
      <w:headerReference w:type="first" r:id="rId14"/>
      <w:footerReference w:type="first" r:id="rId15"/>
      <w:pgSz w:w="12240" w:h="15840"/>
      <w:pgMar w:top="1588" w:right="1247" w:bottom="1077" w:left="1247" w:header="720" w:footer="720" w:gutter="0"/>
      <w:pgNumType w:start="1"/>
      <w:cols w:space="720" w:equalWidth="0">
        <w:col w:w="8838"/>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633D45" w14:textId="77777777" w:rsidR="0027413D" w:rsidRDefault="0027413D">
      <w:pPr>
        <w:spacing w:after="0" w:line="240" w:lineRule="auto"/>
      </w:pPr>
      <w:r>
        <w:separator/>
      </w:r>
    </w:p>
  </w:endnote>
  <w:endnote w:type="continuationSeparator" w:id="0">
    <w:p w14:paraId="70D7A69C" w14:textId="77777777" w:rsidR="0027413D" w:rsidRDefault="002741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FDD2E" w14:textId="77777777" w:rsidR="004344AE" w:rsidRDefault="004344AE">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E082F4" w14:textId="77777777" w:rsidR="004344AE" w:rsidRDefault="004344AE">
    <w:pPr>
      <w:tabs>
        <w:tab w:val="center" w:pos="4419"/>
        <w:tab w:val="right" w:pos="8838"/>
      </w:tabs>
      <w:spacing w:after="567" w:line="240" w:lineRule="auto"/>
      <w:jc w:val="right"/>
    </w:pPr>
    <w:r>
      <w:rPr>
        <w:rFonts w:ascii="Verdana" w:eastAsia="Verdana" w:hAnsi="Verdana" w:cs="Verdana"/>
        <w:b/>
        <w:i/>
        <w:sz w:val="20"/>
        <w:szCs w:val="20"/>
      </w:rPr>
      <w:t xml:space="preserve">Página </w:t>
    </w:r>
    <w:r>
      <w:fldChar w:fldCharType="begin"/>
    </w:r>
    <w:r>
      <w:instrText>PAGE</w:instrText>
    </w:r>
    <w:r>
      <w:fldChar w:fldCharType="separate"/>
    </w:r>
    <w:r w:rsidR="00B005FD">
      <w:rPr>
        <w:noProof/>
      </w:rPr>
      <w:t>10</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5EE93" w14:textId="77777777" w:rsidR="004344AE" w:rsidRDefault="004344A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A5FEF9" w14:textId="77777777" w:rsidR="0027413D" w:rsidRDefault="0027413D">
      <w:pPr>
        <w:spacing w:after="0" w:line="240" w:lineRule="auto"/>
      </w:pPr>
      <w:r>
        <w:separator/>
      </w:r>
    </w:p>
  </w:footnote>
  <w:footnote w:type="continuationSeparator" w:id="0">
    <w:p w14:paraId="03DD691D" w14:textId="77777777" w:rsidR="0027413D" w:rsidRDefault="002741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039037" w14:textId="77777777" w:rsidR="004344AE" w:rsidRDefault="004344AE">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BE4A1D" w14:textId="77777777" w:rsidR="004344AE" w:rsidRDefault="004344AE">
    <w:pPr>
      <w:widowControl w:val="0"/>
      <w:spacing w:after="0"/>
    </w:pPr>
  </w:p>
  <w:tbl>
    <w:tblPr>
      <w:tblStyle w:val="a"/>
      <w:tblW w:w="9962" w:type="dxa"/>
      <w:tblInd w:w="-115"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5028"/>
      <w:gridCol w:w="4934"/>
    </w:tblGrid>
    <w:tr w:rsidR="004344AE" w14:paraId="0397E03E" w14:textId="77777777">
      <w:tc>
        <w:tcPr>
          <w:tcW w:w="5028" w:type="dxa"/>
        </w:tcPr>
        <w:p w14:paraId="532E19B1" w14:textId="77777777" w:rsidR="004344AE" w:rsidRDefault="004344AE">
          <w:pPr>
            <w:tabs>
              <w:tab w:val="left" w:pos="567"/>
              <w:tab w:val="center" w:pos="4320"/>
              <w:tab w:val="right" w:pos="8640"/>
            </w:tabs>
            <w:spacing w:before="567"/>
          </w:pPr>
          <w:r>
            <w:rPr>
              <w:noProof/>
            </w:rPr>
            <w:drawing>
              <wp:inline distT="0" distB="0" distL="0" distR="0" wp14:anchorId="4E7D7443" wp14:editId="3DE20E06">
                <wp:extent cx="2098940" cy="793716"/>
                <wp:effectExtent l="0" t="0" r="0" b="0"/>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1"/>
                        <a:srcRect/>
                        <a:stretch>
                          <a:fillRect/>
                        </a:stretch>
                      </pic:blipFill>
                      <pic:spPr>
                        <a:xfrm>
                          <a:off x="0" y="0"/>
                          <a:ext cx="2098940" cy="793716"/>
                        </a:xfrm>
                        <a:prstGeom prst="rect">
                          <a:avLst/>
                        </a:prstGeom>
                        <a:ln/>
                      </pic:spPr>
                    </pic:pic>
                  </a:graphicData>
                </a:graphic>
              </wp:inline>
            </w:drawing>
          </w:r>
        </w:p>
      </w:tc>
      <w:tc>
        <w:tcPr>
          <w:tcW w:w="4934" w:type="dxa"/>
        </w:tcPr>
        <w:p w14:paraId="2A9C8F5E" w14:textId="77777777" w:rsidR="004344AE" w:rsidRDefault="004344AE">
          <w:pPr>
            <w:tabs>
              <w:tab w:val="left" w:pos="567"/>
              <w:tab w:val="center" w:pos="4320"/>
              <w:tab w:val="right" w:pos="8640"/>
            </w:tabs>
            <w:spacing w:before="567"/>
            <w:jc w:val="right"/>
          </w:pPr>
        </w:p>
        <w:p w14:paraId="5334CA7C" w14:textId="77777777" w:rsidR="004344AE" w:rsidRDefault="004344AE">
          <w:pPr>
            <w:tabs>
              <w:tab w:val="left" w:pos="567"/>
              <w:tab w:val="center" w:pos="4320"/>
              <w:tab w:val="right" w:pos="8640"/>
            </w:tabs>
            <w:jc w:val="right"/>
          </w:pPr>
          <w:r>
            <w:rPr>
              <w:rFonts w:ascii="Verdana" w:eastAsia="Verdana" w:hAnsi="Verdana" w:cs="Verdana"/>
              <w:b/>
              <w:i/>
              <w:sz w:val="20"/>
              <w:szCs w:val="20"/>
            </w:rPr>
            <w:t>Bases de Licitación SLP-1/2016</w:t>
          </w:r>
        </w:p>
        <w:p w14:paraId="2B48DFE0" w14:textId="77777777" w:rsidR="004344AE" w:rsidRDefault="004344AE">
          <w:pPr>
            <w:tabs>
              <w:tab w:val="left" w:pos="567"/>
              <w:tab w:val="center" w:pos="4320"/>
              <w:tab w:val="right" w:pos="8640"/>
            </w:tabs>
            <w:jc w:val="right"/>
          </w:pPr>
          <w:r>
            <w:rPr>
              <w:rFonts w:ascii="Verdana" w:eastAsia="Verdana" w:hAnsi="Verdana" w:cs="Verdana"/>
              <w:b/>
              <w:i/>
              <w:sz w:val="20"/>
              <w:szCs w:val="20"/>
            </w:rPr>
            <w:t>ANEXO I.2</w:t>
          </w:r>
        </w:p>
        <w:p w14:paraId="25C14C46" w14:textId="77777777" w:rsidR="004344AE" w:rsidRDefault="004344AE">
          <w:pPr>
            <w:tabs>
              <w:tab w:val="left" w:pos="567"/>
              <w:tab w:val="center" w:pos="4320"/>
              <w:tab w:val="right" w:pos="8640"/>
            </w:tabs>
            <w:jc w:val="right"/>
          </w:pPr>
          <w:r>
            <w:rPr>
              <w:rFonts w:ascii="Verdana" w:eastAsia="Verdana" w:hAnsi="Verdana" w:cs="Verdana"/>
              <w:b/>
              <w:i/>
              <w:sz w:val="20"/>
              <w:szCs w:val="20"/>
            </w:rPr>
            <w:t xml:space="preserve">20 de junio de 2016 </w:t>
          </w:r>
          <w:r>
            <w:rPr>
              <w:rFonts w:ascii="Verdana" w:eastAsia="Verdana" w:hAnsi="Verdana" w:cs="Verdana"/>
              <w:b/>
              <w:i/>
              <w:sz w:val="20"/>
              <w:szCs w:val="20"/>
            </w:rPr>
            <w:br/>
          </w:r>
        </w:p>
      </w:tc>
    </w:tr>
  </w:tbl>
  <w:p w14:paraId="74825096" w14:textId="77777777" w:rsidR="004344AE" w:rsidRDefault="004344AE">
    <w:pPr>
      <w:tabs>
        <w:tab w:val="center" w:pos="4419"/>
        <w:tab w:val="right" w:pos="8838"/>
      </w:tabs>
      <w:spacing w:after="0" w:line="240" w:lineRule="auto"/>
    </w:pPr>
  </w:p>
  <w:p w14:paraId="465A6ED2" w14:textId="77777777" w:rsidR="004344AE" w:rsidRDefault="004344AE">
    <w:pPr>
      <w:tabs>
        <w:tab w:val="center" w:pos="4419"/>
        <w:tab w:val="right" w:pos="8838"/>
      </w:tabs>
      <w:spacing w:after="0" w:line="240" w:lineRule="aut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43D13" w14:textId="77777777" w:rsidR="004344AE" w:rsidRDefault="004344A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isplayBackgroundShap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4897"/>
    <w:rsid w:val="000252EE"/>
    <w:rsid w:val="001055D5"/>
    <w:rsid w:val="00130515"/>
    <w:rsid w:val="00165C29"/>
    <w:rsid w:val="001B1BC4"/>
    <w:rsid w:val="00212CCD"/>
    <w:rsid w:val="0027413D"/>
    <w:rsid w:val="0029136C"/>
    <w:rsid w:val="002C4646"/>
    <w:rsid w:val="0030435E"/>
    <w:rsid w:val="003A4897"/>
    <w:rsid w:val="0040515D"/>
    <w:rsid w:val="004344AE"/>
    <w:rsid w:val="00444D87"/>
    <w:rsid w:val="00536A86"/>
    <w:rsid w:val="006562E5"/>
    <w:rsid w:val="0066300F"/>
    <w:rsid w:val="006B5DDE"/>
    <w:rsid w:val="008C0443"/>
    <w:rsid w:val="00A06D7E"/>
    <w:rsid w:val="00B005FD"/>
    <w:rsid w:val="00B95978"/>
    <w:rsid w:val="00C90A41"/>
    <w:rsid w:val="00CD3E19"/>
    <w:rsid w:val="00CE4E79"/>
    <w:rsid w:val="00CF27C1"/>
    <w:rsid w:val="00DF5191"/>
    <w:rsid w:val="00E850AE"/>
    <w:rsid w:val="00F06981"/>
    <w:rsid w:val="00F945E1"/>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61D3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Ttulo2">
    <w:name w:val="heading 2"/>
    <w:basedOn w:val="Normal"/>
    <w:next w:val="Normal"/>
    <w:pPr>
      <w:keepNext/>
      <w:keepLines/>
      <w:spacing w:before="360" w:after="80"/>
      <w:contextualSpacing/>
      <w:outlineLvl w:val="1"/>
    </w:pPr>
    <w:rPr>
      <w:b/>
      <w:sz w:val="36"/>
      <w:szCs w:val="36"/>
    </w:rPr>
  </w:style>
  <w:style w:type="paragraph" w:styleId="Ttulo3">
    <w:name w:val="heading 3"/>
    <w:basedOn w:val="Normal"/>
    <w:next w:val="Normal"/>
    <w:pPr>
      <w:keepNext/>
      <w:keepLines/>
      <w:spacing w:before="280" w:after="80"/>
      <w:contextualSpacing/>
      <w:outlineLvl w:val="2"/>
    </w:pPr>
    <w:rPr>
      <w:b/>
      <w:sz w:val="28"/>
      <w:szCs w:val="28"/>
    </w:rPr>
  </w:style>
  <w:style w:type="paragraph" w:styleId="Ttulo4">
    <w:name w:val="heading 4"/>
    <w:basedOn w:val="Normal"/>
    <w:next w:val="Normal"/>
    <w:pPr>
      <w:keepNext/>
      <w:keepLines/>
      <w:spacing w:before="240" w:after="40"/>
      <w:contextualSpacing/>
      <w:outlineLvl w:val="3"/>
    </w:pPr>
    <w:rPr>
      <w:b/>
      <w:sz w:val="24"/>
      <w:szCs w:val="24"/>
    </w:rPr>
  </w:style>
  <w:style w:type="paragraph" w:styleId="Ttulo5">
    <w:name w:val="heading 5"/>
    <w:basedOn w:val="Normal"/>
    <w:next w:val="Normal"/>
    <w:pPr>
      <w:keepNext/>
      <w:keepLines/>
      <w:spacing w:before="220" w:after="40"/>
      <w:contextualSpacing/>
      <w:outlineLvl w:val="4"/>
    </w:pPr>
    <w:rPr>
      <w:b/>
    </w:rPr>
  </w:style>
  <w:style w:type="paragraph" w:styleId="Ttulo6">
    <w:name w:val="heading 6"/>
    <w:basedOn w:val="Normal"/>
    <w:next w:val="Normal"/>
    <w:pPr>
      <w:keepNext/>
      <w:keepLines/>
      <w:spacing w:before="200" w:after="40"/>
      <w:contextualSpacing/>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Puesto">
    <w:name w:val="Title"/>
    <w:basedOn w:val="Normal"/>
    <w:next w:val="Normal"/>
    <w:pPr>
      <w:keepNext/>
      <w:keepLines/>
      <w:spacing w:before="480" w:after="120"/>
      <w:contextualSpacing/>
    </w:pPr>
    <w:rPr>
      <w:b/>
      <w:sz w:val="72"/>
      <w:szCs w:val="72"/>
    </w:rPr>
  </w:style>
  <w:style w:type="paragraph" w:styleId="Subttulo">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1"/>
    <w:pPr>
      <w:spacing w:after="0" w:line="240" w:lineRule="auto"/>
    </w:pPr>
    <w:rPr>
      <w:sz w:val="24"/>
      <w:szCs w:val="24"/>
    </w:rPr>
    <w:tblPr>
      <w:tblStyleRowBandSize w:val="1"/>
      <w:tblStyleColBandSize w:val="1"/>
      <w:tblCellMar>
        <w:left w:w="115" w:type="dxa"/>
        <w:right w:w="115" w:type="dxa"/>
      </w:tblCellMar>
    </w:tbl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Textodeglobo">
    <w:name w:val="Balloon Text"/>
    <w:basedOn w:val="Normal"/>
    <w:link w:val="TextodegloboCar"/>
    <w:uiPriority w:val="99"/>
    <w:semiHidden/>
    <w:unhideWhenUsed/>
    <w:rsid w:val="00CE4E7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E4E79"/>
    <w:rPr>
      <w:rFonts w:ascii="Segoe UI" w:hAnsi="Segoe UI" w:cs="Segoe UI"/>
      <w:sz w:val="18"/>
      <w:szCs w:val="18"/>
    </w:rPr>
  </w:style>
  <w:style w:type="paragraph" w:styleId="Encabezado">
    <w:name w:val="header"/>
    <w:basedOn w:val="Normal"/>
    <w:link w:val="EncabezadoCar"/>
    <w:uiPriority w:val="99"/>
    <w:unhideWhenUsed/>
    <w:rsid w:val="000252E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252EE"/>
  </w:style>
  <w:style w:type="paragraph" w:styleId="Piedepgina">
    <w:name w:val="footer"/>
    <w:basedOn w:val="Normal"/>
    <w:link w:val="PiedepginaCar"/>
    <w:uiPriority w:val="99"/>
    <w:unhideWhenUsed/>
    <w:rsid w:val="000252E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252EE"/>
  </w:style>
  <w:style w:type="paragraph" w:styleId="Asuntodelcomentario">
    <w:name w:val="annotation subject"/>
    <w:basedOn w:val="Textocomentario"/>
    <w:next w:val="Textocomentario"/>
    <w:link w:val="AsuntodelcomentarioCar"/>
    <w:uiPriority w:val="99"/>
    <w:semiHidden/>
    <w:unhideWhenUsed/>
    <w:rsid w:val="0040515D"/>
    <w:rPr>
      <w:b/>
      <w:bCs/>
    </w:rPr>
  </w:style>
  <w:style w:type="character" w:customStyle="1" w:styleId="AsuntodelcomentarioCar">
    <w:name w:val="Asunto del comentario Car"/>
    <w:basedOn w:val="TextocomentarioCar"/>
    <w:link w:val="Asuntodelcomentario"/>
    <w:uiPriority w:val="99"/>
    <w:semiHidden/>
    <w:rsid w:val="0040515D"/>
    <w:rPr>
      <w:b/>
      <w:bCs/>
      <w:sz w:val="20"/>
      <w:szCs w:val="20"/>
    </w:rPr>
  </w:style>
  <w:style w:type="character" w:styleId="Hipervnculo">
    <w:name w:val="Hyperlink"/>
    <w:basedOn w:val="Fuentedeprrafopredeter"/>
    <w:uiPriority w:val="99"/>
    <w:unhideWhenUsed/>
    <w:rsid w:val="00F945E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b.mx/shcp/documentos/tasa-social-de-descuento-tsd"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cenace.gob.mx/Paginas/Publicas/MercadoOperacion/SubastasLP.aspx"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gob.mx/cms/uploads/attachment/file/23409/oficio_tasa_social_de_descuento.pdf"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3A291-946C-4775-9A0D-98A04A16C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4037</Words>
  <Characters>22205</Characters>
  <Application>Microsoft Office Word</Application>
  <DocSecurity>0</DocSecurity>
  <Lines>185</Lines>
  <Paragraphs>52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26190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2016-06-20T19:25:00Z</dcterms:created>
  <dcterms:modified xsi:type="dcterms:W3CDTF">2016-06-20T19:29:00Z</dcterms:modified>
</cp:coreProperties>
</file>